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bookmarkStart w:id="84" w:name="_GoBack"/>
      <w:bookmarkEnd w:id="84"/>
    </w:p>
    <w:p>
      <w:pPr>
        <w:rPr>
          <w:sz w:val="52"/>
          <w:szCs w:val="52"/>
        </w:rPr>
      </w:pPr>
    </w:p>
    <w:p>
      <w:pPr>
        <w:rPr>
          <w:sz w:val="52"/>
          <w:szCs w:val="52"/>
        </w:rPr>
      </w:pPr>
    </w:p>
    <w:p>
      <w:pPr>
        <w:rPr>
          <w:sz w:val="52"/>
          <w:szCs w:val="52"/>
        </w:rPr>
      </w:pPr>
    </w:p>
    <w:p>
      <w:pPr>
        <w:jc w:val="center"/>
        <w:rPr>
          <w:b/>
          <w:sz w:val="52"/>
          <w:szCs w:val="52"/>
        </w:rPr>
      </w:pPr>
      <w:r>
        <w:rPr>
          <w:rFonts w:hint="eastAsia"/>
          <w:b/>
          <w:sz w:val="52"/>
          <w:szCs w:val="52"/>
        </w:rPr>
        <w:t>榆林市榆阳区养殖水域滩涂规划</w:t>
      </w:r>
    </w:p>
    <w:p>
      <w:pPr>
        <w:jc w:val="center"/>
        <w:rPr>
          <w:b/>
          <w:sz w:val="52"/>
          <w:szCs w:val="52"/>
        </w:rPr>
      </w:pPr>
      <w:r>
        <w:rPr>
          <w:rFonts w:hint="eastAsia"/>
          <w:b/>
          <w:sz w:val="52"/>
          <w:szCs w:val="52"/>
        </w:rPr>
        <w:t>（2017-2030）</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b/>
          <w:sz w:val="36"/>
          <w:szCs w:val="36"/>
        </w:rPr>
      </w:pPr>
      <w:r>
        <w:rPr>
          <w:rFonts w:hint="eastAsia"/>
          <w:b/>
          <w:sz w:val="36"/>
          <w:szCs w:val="36"/>
        </w:rPr>
        <w:t>榆林市榆阳区人民政府</w:t>
      </w:r>
    </w:p>
    <w:p>
      <w:pPr>
        <w:jc w:val="center"/>
        <w:rPr>
          <w:rFonts w:hint="eastAsia"/>
          <w:sz w:val="28"/>
          <w:szCs w:val="28"/>
        </w:rPr>
      </w:pPr>
      <w:r>
        <w:rPr>
          <w:rFonts w:hint="eastAsia"/>
          <w:b/>
          <w:sz w:val="36"/>
          <w:szCs w:val="36"/>
        </w:rPr>
        <w:t>榆林市榆阳区水务局</w:t>
      </w:r>
    </w:p>
    <w:p>
      <w:pPr>
        <w:jc w:val="center"/>
        <w:rPr>
          <w:b/>
          <w:sz w:val="36"/>
          <w:szCs w:val="36"/>
        </w:rPr>
      </w:pPr>
      <w:r>
        <w:rPr>
          <w:rFonts w:hint="eastAsia"/>
          <w:b/>
          <w:sz w:val="36"/>
          <w:szCs w:val="36"/>
        </w:rPr>
        <w:t>陕西省动物研究所</w:t>
      </w:r>
    </w:p>
    <w:p>
      <w:pPr>
        <w:spacing w:beforeLines="50"/>
        <w:jc w:val="center"/>
        <w:rPr>
          <w:b/>
          <w:sz w:val="36"/>
          <w:szCs w:val="36"/>
        </w:rPr>
      </w:pPr>
      <w:r>
        <w:rPr>
          <w:rFonts w:hint="eastAsia"/>
          <w:b/>
          <w:sz w:val="36"/>
          <w:szCs w:val="36"/>
        </w:rPr>
        <w:t>2018年11月</w:t>
      </w:r>
    </w:p>
    <w:p>
      <w:pPr>
        <w:jc w:val="center"/>
        <w:rPr>
          <w:b/>
          <w:sz w:val="44"/>
          <w:szCs w:val="44"/>
        </w:rPr>
        <w:sectPr>
          <w:footerReference r:id="rId3" w:type="default"/>
          <w:pgSz w:w="11906" w:h="16838"/>
          <w:pgMar w:top="1440" w:right="1800" w:bottom="1440" w:left="1800" w:header="851" w:footer="992" w:gutter="0"/>
          <w:cols w:space="720" w:num="1"/>
          <w:docGrid w:type="lines" w:linePitch="312" w:charSpace="0"/>
        </w:sectPr>
      </w:pPr>
    </w:p>
    <w:p>
      <w:pPr>
        <w:rPr>
          <w:sz w:val="28"/>
          <w:szCs w:val="28"/>
        </w:rPr>
      </w:pPr>
    </w:p>
    <w:p>
      <w:pPr>
        <w:rPr>
          <w:sz w:val="28"/>
          <w:szCs w:val="28"/>
        </w:rPr>
      </w:pPr>
      <w:r>
        <w:rPr>
          <w:rFonts w:hint="eastAsia"/>
          <w:b/>
          <w:sz w:val="28"/>
          <w:szCs w:val="28"/>
        </w:rPr>
        <w:t>项目名称：</w:t>
      </w:r>
      <w:r>
        <w:rPr>
          <w:rFonts w:hint="eastAsia"/>
          <w:sz w:val="28"/>
          <w:szCs w:val="28"/>
        </w:rPr>
        <w:t>榆林市榆阳区养殖水域滩涂规划（2017-2030）</w:t>
      </w:r>
    </w:p>
    <w:p>
      <w:pPr>
        <w:rPr>
          <w:rFonts w:hint="eastAsia"/>
          <w:b/>
          <w:sz w:val="28"/>
          <w:szCs w:val="28"/>
        </w:rPr>
      </w:pPr>
      <w:r>
        <w:rPr>
          <w:rFonts w:hint="eastAsia"/>
          <w:b/>
          <w:sz w:val="28"/>
          <w:szCs w:val="28"/>
        </w:rPr>
        <w:t>编制单位：</w:t>
      </w:r>
      <w:r>
        <w:rPr>
          <w:rFonts w:hint="eastAsia"/>
          <w:sz w:val="28"/>
          <w:szCs w:val="28"/>
        </w:rPr>
        <w:t>榆林市榆阳区水务局</w:t>
      </w:r>
    </w:p>
    <w:p>
      <w:pPr>
        <w:ind w:firstLine="1400" w:firstLineChars="500"/>
        <w:rPr>
          <w:rFonts w:hint="eastAsia"/>
          <w:sz w:val="28"/>
          <w:szCs w:val="28"/>
        </w:rPr>
      </w:pPr>
      <w:r>
        <w:rPr>
          <w:rFonts w:hint="eastAsia"/>
          <w:sz w:val="28"/>
          <w:szCs w:val="28"/>
        </w:rPr>
        <w:t>榆林市榆阳区水产工作站</w:t>
      </w:r>
    </w:p>
    <w:p>
      <w:pPr>
        <w:ind w:firstLine="1400" w:firstLineChars="500"/>
        <w:rPr>
          <w:sz w:val="28"/>
          <w:szCs w:val="28"/>
        </w:rPr>
      </w:pPr>
      <w:r>
        <w:rPr>
          <w:rFonts w:hint="eastAsia"/>
          <w:sz w:val="28"/>
          <w:szCs w:val="28"/>
        </w:rPr>
        <w:t>陕西省动物研究所</w:t>
      </w:r>
    </w:p>
    <w:p>
      <w:pPr>
        <w:rPr>
          <w:rFonts w:hint="eastAsia"/>
          <w:b/>
          <w:sz w:val="28"/>
          <w:szCs w:val="28"/>
        </w:rPr>
      </w:pPr>
      <w:r>
        <w:rPr>
          <w:rFonts w:hint="eastAsia"/>
          <w:b/>
          <w:sz w:val="28"/>
          <w:szCs w:val="28"/>
        </w:rPr>
        <w:t>项目负责：</w:t>
      </w:r>
      <w:r>
        <w:rPr>
          <w:rFonts w:hint="eastAsia"/>
          <w:sz w:val="28"/>
          <w:szCs w:val="28"/>
        </w:rPr>
        <w:t>赵应华  局长</w:t>
      </w:r>
    </w:p>
    <w:p>
      <w:pPr>
        <w:ind w:firstLine="1400" w:firstLineChars="500"/>
        <w:rPr>
          <w:sz w:val="28"/>
          <w:szCs w:val="28"/>
        </w:rPr>
      </w:pPr>
      <w:r>
        <w:rPr>
          <w:rFonts w:hint="eastAsia"/>
          <w:sz w:val="28"/>
          <w:szCs w:val="28"/>
        </w:rPr>
        <w:t>张红星  研究员</w:t>
      </w:r>
    </w:p>
    <w:p>
      <w:pPr>
        <w:rPr>
          <w:rFonts w:hint="eastAsia"/>
          <w:b/>
          <w:sz w:val="28"/>
          <w:szCs w:val="28"/>
        </w:rPr>
      </w:pPr>
      <w:r>
        <w:rPr>
          <w:rFonts w:hint="eastAsia"/>
          <w:b/>
          <w:sz w:val="28"/>
          <w:szCs w:val="28"/>
        </w:rPr>
        <w:t>报告编制：</w:t>
      </w:r>
      <w:r>
        <w:rPr>
          <w:rFonts w:hint="eastAsia"/>
          <w:sz w:val="28"/>
          <w:szCs w:val="28"/>
        </w:rPr>
        <w:t>马建国  站长</w:t>
      </w:r>
    </w:p>
    <w:p>
      <w:pPr>
        <w:ind w:firstLine="1400" w:firstLineChars="500"/>
        <w:rPr>
          <w:rFonts w:hint="eastAsia"/>
          <w:sz w:val="28"/>
          <w:szCs w:val="28"/>
        </w:rPr>
      </w:pPr>
      <w:r>
        <w:rPr>
          <w:rFonts w:hint="eastAsia"/>
          <w:sz w:val="28"/>
          <w:szCs w:val="28"/>
        </w:rPr>
        <w:t>温世喜  书记</w:t>
      </w:r>
    </w:p>
    <w:p>
      <w:pPr>
        <w:ind w:firstLine="1400" w:firstLineChars="500"/>
        <w:rPr>
          <w:rFonts w:hint="eastAsia"/>
          <w:sz w:val="28"/>
          <w:szCs w:val="28"/>
        </w:rPr>
      </w:pPr>
      <w:r>
        <w:rPr>
          <w:rFonts w:hint="eastAsia"/>
          <w:sz w:val="28"/>
          <w:szCs w:val="28"/>
        </w:rPr>
        <w:t>刘广荣  副站长</w:t>
      </w:r>
    </w:p>
    <w:p>
      <w:pPr>
        <w:ind w:firstLine="1400" w:firstLineChars="500"/>
        <w:rPr>
          <w:rFonts w:hint="eastAsia"/>
          <w:sz w:val="28"/>
          <w:szCs w:val="28"/>
        </w:rPr>
      </w:pPr>
      <w:r>
        <w:rPr>
          <w:rFonts w:hint="eastAsia"/>
          <w:sz w:val="28"/>
          <w:szCs w:val="28"/>
        </w:rPr>
        <w:t>高尚荣  副站长</w:t>
      </w:r>
    </w:p>
    <w:p>
      <w:pPr>
        <w:ind w:firstLine="1400" w:firstLineChars="500"/>
        <w:rPr>
          <w:rFonts w:hint="eastAsia"/>
          <w:b/>
          <w:sz w:val="28"/>
          <w:szCs w:val="28"/>
        </w:rPr>
      </w:pPr>
      <w:r>
        <w:rPr>
          <w:rFonts w:hint="eastAsia"/>
          <w:sz w:val="28"/>
          <w:szCs w:val="28"/>
        </w:rPr>
        <w:t>张  凯  副站长</w:t>
      </w:r>
    </w:p>
    <w:p>
      <w:pPr>
        <w:ind w:firstLine="1400" w:firstLineChars="500"/>
        <w:rPr>
          <w:sz w:val="28"/>
          <w:szCs w:val="28"/>
        </w:rPr>
      </w:pPr>
      <w:r>
        <w:rPr>
          <w:rFonts w:hint="eastAsia"/>
          <w:sz w:val="28"/>
          <w:szCs w:val="28"/>
        </w:rPr>
        <w:t>赵  虎  助理研究员</w:t>
      </w:r>
    </w:p>
    <w:p>
      <w:pPr>
        <w:rPr>
          <w:sz w:val="28"/>
          <w:szCs w:val="28"/>
        </w:rPr>
      </w:pPr>
      <w:r>
        <w:rPr>
          <w:rFonts w:hint="eastAsia"/>
          <w:b/>
          <w:sz w:val="28"/>
          <w:szCs w:val="28"/>
        </w:rPr>
        <w:t>制    图：</w:t>
      </w:r>
      <w:r>
        <w:rPr>
          <w:rFonts w:hint="eastAsia"/>
          <w:sz w:val="28"/>
          <w:szCs w:val="28"/>
        </w:rPr>
        <w:t>赵  虎  助理研究员</w:t>
      </w:r>
    </w:p>
    <w:p>
      <w:pPr>
        <w:rPr>
          <w:rFonts w:hint="eastAsia"/>
          <w:sz w:val="28"/>
          <w:szCs w:val="28"/>
        </w:rPr>
      </w:pPr>
      <w:r>
        <w:rPr>
          <w:rFonts w:hint="eastAsia"/>
          <w:b/>
          <w:sz w:val="28"/>
          <w:szCs w:val="28"/>
        </w:rPr>
        <w:t>审    定：</w:t>
      </w:r>
      <w:r>
        <w:rPr>
          <w:rFonts w:hint="eastAsia"/>
          <w:sz w:val="28"/>
          <w:szCs w:val="28"/>
        </w:rPr>
        <w:t>李  琦  副局长</w:t>
      </w:r>
    </w:p>
    <w:p>
      <w:pPr>
        <w:ind w:firstLine="1400" w:firstLineChars="500"/>
        <w:rPr>
          <w:sz w:val="28"/>
          <w:szCs w:val="28"/>
        </w:rPr>
      </w:pPr>
      <w:r>
        <w:rPr>
          <w:rFonts w:hint="eastAsia"/>
          <w:sz w:val="28"/>
          <w:szCs w:val="28"/>
        </w:rPr>
        <w:t>马建国  站长</w:t>
      </w:r>
    </w:p>
    <w:p>
      <w:pPr>
        <w:ind w:firstLine="1400" w:firstLineChars="500"/>
        <w:rPr>
          <w:sz w:val="28"/>
          <w:szCs w:val="28"/>
        </w:rPr>
      </w:pPr>
      <w:r>
        <w:rPr>
          <w:rFonts w:hint="eastAsia"/>
          <w:sz w:val="28"/>
          <w:szCs w:val="28"/>
        </w:rPr>
        <w:t>刘广荣  副站长</w:t>
      </w:r>
    </w:p>
    <w:p/>
    <w:p>
      <w:pPr>
        <w:sectPr>
          <w:pgSz w:w="11906" w:h="16838"/>
          <w:pgMar w:top="1440" w:right="1800" w:bottom="1440" w:left="1800" w:header="851" w:footer="992" w:gutter="0"/>
          <w:cols w:space="720" w:num="1"/>
          <w:docGrid w:type="lines" w:linePitch="312" w:charSpace="0"/>
        </w:sectPr>
      </w:pPr>
    </w:p>
    <w:p>
      <w:pPr>
        <w:spacing w:beforeLines="100" w:afterLines="100"/>
        <w:jc w:val="center"/>
        <w:rPr>
          <w:rFonts w:ascii="黑体" w:hAnsi="黑体" w:eastAsia="黑体"/>
          <w:sz w:val="32"/>
          <w:szCs w:val="32"/>
        </w:rPr>
      </w:pPr>
      <w:r>
        <w:rPr>
          <w:rFonts w:hint="eastAsia" w:ascii="黑体" w:hAnsi="黑体" w:eastAsia="黑体"/>
          <w:sz w:val="32"/>
          <w:szCs w:val="32"/>
        </w:rPr>
        <w:t>目  录</w:t>
      </w:r>
    </w:p>
    <w:p>
      <w:pPr>
        <w:pStyle w:val="7"/>
        <w:spacing w:line="360" w:lineRule="auto"/>
        <w:rPr>
          <w:rFonts w:eastAsia="宋体"/>
          <w:sz w:val="24"/>
          <w:szCs w:val="24"/>
        </w:rPr>
      </w:pPr>
      <w:r>
        <w:rPr>
          <w:rFonts w:eastAsia="宋体"/>
          <w:sz w:val="24"/>
          <w:szCs w:val="24"/>
        </w:rPr>
        <w:fldChar w:fldCharType="begin"/>
      </w:r>
      <w:r>
        <w:rPr>
          <w:rFonts w:eastAsia="宋体"/>
          <w:sz w:val="24"/>
          <w:szCs w:val="24"/>
        </w:rPr>
        <w:instrText xml:space="preserve"> TOC \o "1-3" \h \z \u </w:instrText>
      </w:r>
      <w:r>
        <w:rPr>
          <w:rFonts w:eastAsia="宋体"/>
          <w:sz w:val="24"/>
          <w:szCs w:val="24"/>
        </w:rPr>
        <w:fldChar w:fldCharType="separate"/>
      </w:r>
      <w:r>
        <w:fldChar w:fldCharType="begin"/>
      </w:r>
      <w:r>
        <w:instrText xml:space="preserve"> HYPERLINK \l "_Toc532809845" </w:instrText>
      </w:r>
      <w:r>
        <w:fldChar w:fldCharType="separate"/>
      </w:r>
      <w:r>
        <w:rPr>
          <w:rStyle w:val="10"/>
          <w:rFonts w:hAnsi="宋体" w:eastAsia="宋体"/>
          <w:sz w:val="24"/>
          <w:szCs w:val="24"/>
        </w:rPr>
        <w:t>第一章</w:t>
      </w:r>
      <w:r>
        <w:rPr>
          <w:rStyle w:val="10"/>
          <w:rFonts w:eastAsia="宋体"/>
          <w:sz w:val="24"/>
          <w:szCs w:val="24"/>
        </w:rPr>
        <w:t xml:space="preserve">  </w:t>
      </w:r>
      <w:r>
        <w:rPr>
          <w:rStyle w:val="10"/>
          <w:rFonts w:hAnsi="宋体" w:eastAsia="宋体"/>
          <w:sz w:val="24"/>
          <w:szCs w:val="24"/>
        </w:rPr>
        <w:t>总</w:t>
      </w:r>
      <w:r>
        <w:rPr>
          <w:rStyle w:val="10"/>
          <w:rFonts w:eastAsia="宋体"/>
          <w:sz w:val="24"/>
          <w:szCs w:val="24"/>
        </w:rPr>
        <w:t xml:space="preserve">  </w:t>
      </w:r>
      <w:r>
        <w:rPr>
          <w:rStyle w:val="10"/>
          <w:rFonts w:hAnsi="宋体" w:eastAsia="宋体"/>
          <w:sz w:val="24"/>
          <w:szCs w:val="24"/>
        </w:rPr>
        <w:t>则</w:t>
      </w:r>
      <w:r>
        <w:rPr>
          <w:rFonts w:eastAsia="宋体"/>
          <w:sz w:val="24"/>
          <w:szCs w:val="24"/>
        </w:rPr>
        <w:tab/>
      </w:r>
      <w:r>
        <w:rPr>
          <w:rFonts w:eastAsia="宋体"/>
          <w:sz w:val="24"/>
          <w:szCs w:val="24"/>
        </w:rPr>
        <w:fldChar w:fldCharType="begin"/>
      </w:r>
      <w:r>
        <w:rPr>
          <w:rFonts w:eastAsia="宋体"/>
          <w:sz w:val="24"/>
          <w:szCs w:val="24"/>
        </w:rPr>
        <w:instrText xml:space="preserve"> PAGEREF _Toc532809845 \h </w:instrText>
      </w:r>
      <w:r>
        <w:rPr>
          <w:rFonts w:eastAsia="宋体"/>
          <w:sz w:val="24"/>
          <w:szCs w:val="24"/>
        </w:rPr>
        <w:fldChar w:fldCharType="separate"/>
      </w:r>
      <w:r>
        <w:rPr>
          <w:rFonts w:eastAsia="宋体"/>
          <w:sz w:val="24"/>
          <w:szCs w:val="24"/>
        </w:rPr>
        <w:t>1</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"_Toc532809846" </w:instrText>
      </w:r>
      <w:r>
        <w:fldChar w:fldCharType="separate"/>
      </w:r>
      <w:r>
        <w:rPr>
          <w:rStyle w:val="10"/>
          <w:rFonts w:hAnsi="宋体" w:eastAsia="宋体"/>
          <w:sz w:val="24"/>
          <w:szCs w:val="24"/>
        </w:rPr>
        <w:t>第一节</w:t>
      </w:r>
      <w:r>
        <w:rPr>
          <w:rStyle w:val="10"/>
          <w:rFonts w:eastAsia="宋体"/>
          <w:sz w:val="24"/>
          <w:szCs w:val="24"/>
        </w:rPr>
        <w:t xml:space="preserve"> </w:t>
      </w:r>
      <w:r>
        <w:rPr>
          <w:rStyle w:val="10"/>
          <w:rFonts w:hAnsi="宋体" w:eastAsia="宋体"/>
          <w:sz w:val="24"/>
          <w:szCs w:val="24"/>
        </w:rPr>
        <w:t>前言</w:t>
      </w:r>
      <w:r>
        <w:rPr>
          <w:rFonts w:eastAsia="宋体"/>
          <w:sz w:val="24"/>
          <w:szCs w:val="24"/>
        </w:rPr>
        <w:tab/>
      </w:r>
      <w:r>
        <w:rPr>
          <w:rFonts w:eastAsia="宋体"/>
          <w:sz w:val="24"/>
          <w:szCs w:val="24"/>
        </w:rPr>
        <w:fldChar w:fldCharType="begin"/>
      </w:r>
      <w:r>
        <w:rPr>
          <w:rFonts w:eastAsia="宋体"/>
          <w:sz w:val="24"/>
          <w:szCs w:val="24"/>
        </w:rPr>
        <w:instrText xml:space="preserve"> PAGEREF _Toc532809846 \h </w:instrText>
      </w:r>
      <w:r>
        <w:rPr>
          <w:rFonts w:eastAsia="宋体"/>
          <w:sz w:val="24"/>
          <w:szCs w:val="24"/>
        </w:rPr>
        <w:fldChar w:fldCharType="separate"/>
      </w:r>
      <w:r>
        <w:rPr>
          <w:rFonts w:eastAsia="宋体"/>
          <w:sz w:val="24"/>
          <w:szCs w:val="24"/>
        </w:rPr>
        <w:t>1</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"_Toc532809847" </w:instrText>
      </w:r>
      <w:r>
        <w:fldChar w:fldCharType="separate"/>
      </w:r>
      <w:r>
        <w:rPr>
          <w:rStyle w:val="10"/>
          <w:rFonts w:hAnsi="宋体" w:eastAsia="宋体"/>
          <w:sz w:val="24"/>
          <w:szCs w:val="24"/>
        </w:rPr>
        <w:t>第二节</w:t>
      </w:r>
      <w:r>
        <w:rPr>
          <w:rStyle w:val="10"/>
          <w:rFonts w:eastAsia="宋体"/>
          <w:sz w:val="24"/>
          <w:szCs w:val="24"/>
        </w:rPr>
        <w:t xml:space="preserve"> </w:t>
      </w:r>
      <w:r>
        <w:rPr>
          <w:rStyle w:val="10"/>
          <w:rFonts w:hAnsi="宋体" w:eastAsia="宋体"/>
          <w:sz w:val="24"/>
          <w:szCs w:val="24"/>
        </w:rPr>
        <w:t>编制依据</w:t>
      </w:r>
      <w:r>
        <w:rPr>
          <w:rFonts w:eastAsia="宋体"/>
          <w:sz w:val="24"/>
          <w:szCs w:val="24"/>
        </w:rPr>
        <w:tab/>
      </w:r>
      <w:r>
        <w:rPr>
          <w:rFonts w:eastAsia="宋体"/>
          <w:sz w:val="24"/>
          <w:szCs w:val="24"/>
        </w:rPr>
        <w:fldChar w:fldCharType="begin"/>
      </w:r>
      <w:r>
        <w:rPr>
          <w:rFonts w:eastAsia="宋体"/>
          <w:sz w:val="24"/>
          <w:szCs w:val="24"/>
        </w:rPr>
        <w:instrText xml:space="preserve"> PAGEREF _Toc532809847 \h </w:instrText>
      </w:r>
      <w:r>
        <w:rPr>
          <w:rFonts w:eastAsia="宋体"/>
          <w:sz w:val="24"/>
          <w:szCs w:val="24"/>
        </w:rPr>
        <w:fldChar w:fldCharType="separate"/>
      </w:r>
      <w:r>
        <w:rPr>
          <w:rFonts w:eastAsia="宋体"/>
          <w:sz w:val="24"/>
          <w:szCs w:val="24"/>
        </w:rPr>
        <w:t>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"_Toc532809848" </w:instrText>
      </w:r>
      <w:r>
        <w:fldChar w:fldCharType="separate"/>
      </w:r>
      <w:r>
        <w:rPr>
          <w:rStyle w:val="10"/>
          <w:rFonts w:hAnsi="宋体" w:eastAsia="宋体"/>
          <w:sz w:val="24"/>
          <w:szCs w:val="24"/>
        </w:rPr>
        <w:t>第三节</w:t>
      </w:r>
      <w:r>
        <w:rPr>
          <w:rStyle w:val="10"/>
          <w:rFonts w:eastAsia="宋体"/>
          <w:sz w:val="24"/>
          <w:szCs w:val="24"/>
        </w:rPr>
        <w:t xml:space="preserve"> </w:t>
      </w:r>
      <w:r>
        <w:rPr>
          <w:rStyle w:val="10"/>
          <w:rFonts w:hAnsi="宋体" w:eastAsia="宋体"/>
          <w:sz w:val="24"/>
          <w:szCs w:val="24"/>
        </w:rPr>
        <w:t>目标任务</w:t>
      </w:r>
      <w:r>
        <w:rPr>
          <w:rFonts w:eastAsia="宋体"/>
          <w:sz w:val="24"/>
          <w:szCs w:val="24"/>
        </w:rPr>
        <w:tab/>
      </w:r>
      <w:r>
        <w:rPr>
          <w:rFonts w:eastAsia="宋体"/>
          <w:sz w:val="24"/>
          <w:szCs w:val="24"/>
        </w:rPr>
        <w:fldChar w:fldCharType="begin"/>
      </w:r>
      <w:r>
        <w:rPr>
          <w:rFonts w:eastAsia="宋体"/>
          <w:sz w:val="24"/>
          <w:szCs w:val="24"/>
        </w:rPr>
        <w:instrText xml:space="preserve"> PAGEREF _Toc532809848 \h </w:instrText>
      </w:r>
      <w:r>
        <w:rPr>
          <w:rFonts w:eastAsia="宋体"/>
          <w:sz w:val="24"/>
          <w:szCs w:val="24"/>
        </w:rPr>
        <w:fldChar w:fldCharType="separate"/>
      </w:r>
      <w:r>
        <w:rPr>
          <w:rFonts w:eastAsia="宋体"/>
          <w:sz w:val="24"/>
          <w:szCs w:val="24"/>
        </w:rPr>
        <w:t>6</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"_Toc532809849" </w:instrText>
      </w:r>
      <w:r>
        <w:fldChar w:fldCharType="separate"/>
      </w:r>
      <w:r>
        <w:rPr>
          <w:rStyle w:val="10"/>
          <w:rFonts w:hAnsi="宋体" w:eastAsia="宋体"/>
          <w:sz w:val="24"/>
          <w:szCs w:val="24"/>
        </w:rPr>
        <w:t>第四节</w:t>
      </w:r>
      <w:r>
        <w:rPr>
          <w:rStyle w:val="10"/>
          <w:rFonts w:eastAsia="宋体"/>
          <w:sz w:val="24"/>
          <w:szCs w:val="24"/>
        </w:rPr>
        <w:t xml:space="preserve"> </w:t>
      </w:r>
      <w:r>
        <w:rPr>
          <w:rStyle w:val="10"/>
          <w:rFonts w:hAnsi="宋体" w:eastAsia="宋体"/>
          <w:sz w:val="24"/>
          <w:szCs w:val="24"/>
        </w:rPr>
        <w:t>基本原则</w:t>
      </w:r>
      <w:r>
        <w:rPr>
          <w:rFonts w:eastAsia="宋体"/>
          <w:sz w:val="24"/>
          <w:szCs w:val="24"/>
        </w:rPr>
        <w:tab/>
      </w:r>
      <w:r>
        <w:rPr>
          <w:rFonts w:eastAsia="宋体"/>
          <w:sz w:val="24"/>
          <w:szCs w:val="24"/>
        </w:rPr>
        <w:fldChar w:fldCharType="begin"/>
      </w:r>
      <w:r>
        <w:rPr>
          <w:rFonts w:eastAsia="宋体"/>
          <w:sz w:val="24"/>
          <w:szCs w:val="24"/>
        </w:rPr>
        <w:instrText xml:space="preserve"> PAGEREF _Toc532809849 \h </w:instrText>
      </w:r>
      <w:r>
        <w:rPr>
          <w:rFonts w:eastAsia="宋体"/>
          <w:sz w:val="24"/>
          <w:szCs w:val="24"/>
        </w:rPr>
        <w:fldChar w:fldCharType="separate"/>
      </w:r>
      <w:r>
        <w:rPr>
          <w:rFonts w:eastAsia="宋体"/>
          <w:sz w:val="24"/>
          <w:szCs w:val="24"/>
        </w:rPr>
        <w:t>8</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"_Toc532809850" </w:instrText>
      </w:r>
      <w:r>
        <w:fldChar w:fldCharType="separate"/>
      </w:r>
      <w:r>
        <w:rPr>
          <w:rStyle w:val="10"/>
          <w:rFonts w:hAnsi="宋体" w:eastAsia="宋体"/>
          <w:sz w:val="24"/>
          <w:szCs w:val="24"/>
        </w:rPr>
        <w:t>第五节</w:t>
      </w:r>
      <w:r>
        <w:rPr>
          <w:rStyle w:val="10"/>
          <w:rFonts w:eastAsia="宋体"/>
          <w:sz w:val="24"/>
          <w:szCs w:val="24"/>
        </w:rPr>
        <w:t xml:space="preserve"> </w:t>
      </w:r>
      <w:r>
        <w:rPr>
          <w:rStyle w:val="10"/>
          <w:rFonts w:hAnsi="宋体" w:eastAsia="宋体"/>
          <w:sz w:val="24"/>
          <w:szCs w:val="24"/>
        </w:rPr>
        <w:t>规划范围</w:t>
      </w:r>
      <w:r>
        <w:rPr>
          <w:rFonts w:eastAsia="宋体"/>
          <w:sz w:val="24"/>
          <w:szCs w:val="24"/>
        </w:rPr>
        <w:tab/>
      </w:r>
      <w:r>
        <w:rPr>
          <w:rFonts w:eastAsia="宋体"/>
          <w:sz w:val="24"/>
          <w:szCs w:val="24"/>
        </w:rPr>
        <w:fldChar w:fldCharType="begin"/>
      </w:r>
      <w:r>
        <w:rPr>
          <w:rFonts w:eastAsia="宋体"/>
          <w:sz w:val="24"/>
          <w:szCs w:val="24"/>
        </w:rPr>
        <w:instrText xml:space="preserve"> PAGEREF _Toc532809850 \h </w:instrText>
      </w:r>
      <w:r>
        <w:rPr>
          <w:rFonts w:eastAsia="宋体"/>
          <w:sz w:val="24"/>
          <w:szCs w:val="24"/>
        </w:rPr>
        <w:fldChar w:fldCharType="separate"/>
      </w:r>
      <w:r>
        <w:rPr>
          <w:rFonts w:eastAsia="宋体"/>
          <w:sz w:val="24"/>
          <w:szCs w:val="24"/>
        </w:rPr>
        <w:t>9</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"_Toc532809851" </w:instrText>
      </w:r>
      <w:r>
        <w:fldChar w:fldCharType="separate"/>
      </w:r>
      <w:r>
        <w:rPr>
          <w:rStyle w:val="10"/>
          <w:rFonts w:hAnsi="宋体" w:eastAsia="宋体"/>
          <w:sz w:val="24"/>
          <w:szCs w:val="24"/>
        </w:rPr>
        <w:t>第二章</w:t>
      </w:r>
      <w:r>
        <w:rPr>
          <w:rStyle w:val="10"/>
          <w:rFonts w:eastAsia="宋体"/>
          <w:sz w:val="24"/>
          <w:szCs w:val="24"/>
        </w:rPr>
        <w:t xml:space="preserve">  </w:t>
      </w:r>
      <w:r>
        <w:rPr>
          <w:rStyle w:val="10"/>
          <w:rFonts w:hAnsi="宋体" w:eastAsia="宋体"/>
          <w:sz w:val="24"/>
          <w:szCs w:val="24"/>
        </w:rPr>
        <w:t>养殖水域滩涂利用评价</w:t>
      </w:r>
      <w:r>
        <w:rPr>
          <w:rFonts w:eastAsia="宋体"/>
          <w:sz w:val="24"/>
          <w:szCs w:val="24"/>
        </w:rPr>
        <w:tab/>
      </w:r>
      <w:r>
        <w:rPr>
          <w:rFonts w:eastAsia="宋体"/>
          <w:sz w:val="24"/>
          <w:szCs w:val="24"/>
        </w:rPr>
        <w:fldChar w:fldCharType="begin"/>
      </w:r>
      <w:r>
        <w:rPr>
          <w:rFonts w:eastAsia="宋体"/>
          <w:sz w:val="24"/>
          <w:szCs w:val="24"/>
        </w:rPr>
        <w:instrText xml:space="preserve"> PAGEREF _Toc532809851 \h </w:instrText>
      </w:r>
      <w:r>
        <w:rPr>
          <w:rFonts w:eastAsia="宋体"/>
          <w:sz w:val="24"/>
          <w:szCs w:val="24"/>
        </w:rPr>
        <w:fldChar w:fldCharType="separate"/>
      </w:r>
      <w:r>
        <w:rPr>
          <w:rFonts w:eastAsia="宋体"/>
          <w:sz w:val="24"/>
          <w:szCs w:val="24"/>
        </w:rPr>
        <w:t>10</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"_Toc532809852" </w:instrText>
      </w:r>
      <w:r>
        <w:fldChar w:fldCharType="separate"/>
      </w:r>
      <w:r>
        <w:rPr>
          <w:rStyle w:val="10"/>
          <w:rFonts w:hAnsi="宋体" w:eastAsia="宋体"/>
          <w:sz w:val="24"/>
          <w:szCs w:val="24"/>
        </w:rPr>
        <w:t>第六节</w:t>
      </w:r>
      <w:r>
        <w:rPr>
          <w:rStyle w:val="10"/>
          <w:rFonts w:eastAsia="宋体"/>
          <w:sz w:val="24"/>
          <w:szCs w:val="24"/>
        </w:rPr>
        <w:t xml:space="preserve"> </w:t>
      </w:r>
      <w:r>
        <w:rPr>
          <w:rStyle w:val="10"/>
          <w:rFonts w:hAnsi="宋体" w:eastAsia="宋体"/>
          <w:sz w:val="24"/>
          <w:szCs w:val="24"/>
        </w:rPr>
        <w:t>水域滩涂承载力分析</w:t>
      </w:r>
      <w:r>
        <w:rPr>
          <w:rFonts w:eastAsia="宋体"/>
          <w:sz w:val="24"/>
          <w:szCs w:val="24"/>
        </w:rPr>
        <w:tab/>
      </w:r>
      <w:r>
        <w:rPr>
          <w:rFonts w:eastAsia="宋体"/>
          <w:sz w:val="24"/>
          <w:szCs w:val="24"/>
        </w:rPr>
        <w:fldChar w:fldCharType="begin"/>
      </w:r>
      <w:r>
        <w:rPr>
          <w:rFonts w:eastAsia="宋体"/>
          <w:sz w:val="24"/>
          <w:szCs w:val="24"/>
        </w:rPr>
        <w:instrText xml:space="preserve"> PAGEREF _Toc532809852 \h </w:instrText>
      </w:r>
      <w:r>
        <w:rPr>
          <w:rFonts w:eastAsia="宋体"/>
          <w:sz w:val="24"/>
          <w:szCs w:val="24"/>
        </w:rPr>
        <w:fldChar w:fldCharType="separate"/>
      </w:r>
      <w:r>
        <w:rPr>
          <w:rFonts w:eastAsia="宋体"/>
          <w:sz w:val="24"/>
          <w:szCs w:val="24"/>
        </w:rPr>
        <w:t>10</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"_Toc532809853" </w:instrText>
      </w:r>
      <w:r>
        <w:fldChar w:fldCharType="separate"/>
      </w:r>
      <w:r>
        <w:rPr>
          <w:rStyle w:val="10"/>
          <w:rFonts w:hAnsi="宋体" w:eastAsia="宋体"/>
          <w:sz w:val="24"/>
          <w:szCs w:val="24"/>
        </w:rPr>
        <w:t>第一条</w:t>
      </w:r>
      <w:r>
        <w:rPr>
          <w:rStyle w:val="10"/>
          <w:rFonts w:eastAsia="宋体"/>
          <w:sz w:val="24"/>
          <w:szCs w:val="24"/>
        </w:rPr>
        <w:t xml:space="preserve"> </w:t>
      </w:r>
      <w:r>
        <w:rPr>
          <w:rStyle w:val="10"/>
          <w:rFonts w:hAnsi="宋体" w:eastAsia="宋体"/>
          <w:sz w:val="24"/>
          <w:szCs w:val="24"/>
        </w:rPr>
        <w:t>水域滩涂资源状况</w:t>
      </w:r>
      <w:r>
        <w:rPr>
          <w:rFonts w:eastAsia="宋体"/>
          <w:sz w:val="24"/>
          <w:szCs w:val="24"/>
        </w:rPr>
        <w:tab/>
      </w:r>
      <w:r>
        <w:rPr>
          <w:rFonts w:eastAsia="宋体"/>
          <w:sz w:val="24"/>
          <w:szCs w:val="24"/>
        </w:rPr>
        <w:fldChar w:fldCharType="begin"/>
      </w:r>
      <w:r>
        <w:rPr>
          <w:rFonts w:eastAsia="宋体"/>
          <w:sz w:val="24"/>
          <w:szCs w:val="24"/>
        </w:rPr>
        <w:instrText xml:space="preserve"> PAGEREF _Toc532809853 \h </w:instrText>
      </w:r>
      <w:r>
        <w:rPr>
          <w:rFonts w:eastAsia="宋体"/>
          <w:sz w:val="24"/>
          <w:szCs w:val="24"/>
        </w:rPr>
        <w:fldChar w:fldCharType="separate"/>
      </w:r>
      <w:r>
        <w:rPr>
          <w:rFonts w:eastAsia="宋体"/>
          <w:sz w:val="24"/>
          <w:szCs w:val="24"/>
        </w:rPr>
        <w:t>10</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"_Toc532809854" </w:instrText>
      </w:r>
      <w:r>
        <w:fldChar w:fldCharType="separate"/>
      </w:r>
      <w:r>
        <w:rPr>
          <w:rStyle w:val="10"/>
          <w:rFonts w:hAnsi="宋体" w:eastAsia="宋体"/>
          <w:sz w:val="24"/>
          <w:szCs w:val="24"/>
        </w:rPr>
        <w:t>第二条</w:t>
      </w:r>
      <w:r>
        <w:rPr>
          <w:rStyle w:val="10"/>
          <w:rFonts w:eastAsia="宋体"/>
          <w:sz w:val="24"/>
          <w:szCs w:val="24"/>
        </w:rPr>
        <w:t xml:space="preserve"> </w:t>
      </w:r>
      <w:r>
        <w:rPr>
          <w:rStyle w:val="10"/>
          <w:rFonts w:hAnsi="宋体" w:eastAsia="宋体"/>
          <w:sz w:val="24"/>
          <w:szCs w:val="24"/>
        </w:rPr>
        <w:t>自然气候条件</w:t>
      </w:r>
      <w:r>
        <w:rPr>
          <w:rFonts w:eastAsia="宋体"/>
          <w:sz w:val="24"/>
          <w:szCs w:val="24"/>
        </w:rPr>
        <w:tab/>
      </w:r>
      <w:r>
        <w:rPr>
          <w:rFonts w:eastAsia="宋体"/>
          <w:sz w:val="24"/>
          <w:szCs w:val="24"/>
        </w:rPr>
        <w:fldChar w:fldCharType="begin"/>
      </w:r>
      <w:r>
        <w:rPr>
          <w:rFonts w:eastAsia="宋体"/>
          <w:sz w:val="24"/>
          <w:szCs w:val="24"/>
        </w:rPr>
        <w:instrText xml:space="preserve"> PAGEREF _Toc532809854 \h </w:instrText>
      </w:r>
      <w:r>
        <w:rPr>
          <w:rFonts w:eastAsia="宋体"/>
          <w:sz w:val="24"/>
          <w:szCs w:val="24"/>
        </w:rPr>
        <w:fldChar w:fldCharType="separate"/>
      </w:r>
      <w:r>
        <w:rPr>
          <w:rFonts w:eastAsia="宋体"/>
          <w:sz w:val="24"/>
          <w:szCs w:val="24"/>
        </w:rPr>
        <w:t>12</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"_Toc532809855" </w:instrText>
      </w:r>
      <w:r>
        <w:fldChar w:fldCharType="separate"/>
      </w:r>
      <w:r>
        <w:rPr>
          <w:rStyle w:val="10"/>
          <w:rFonts w:hAnsi="宋体" w:eastAsia="宋体"/>
          <w:sz w:val="24"/>
          <w:szCs w:val="24"/>
        </w:rPr>
        <w:t>第三条</w:t>
      </w:r>
      <w:r>
        <w:rPr>
          <w:rStyle w:val="10"/>
          <w:rFonts w:eastAsia="宋体"/>
          <w:sz w:val="24"/>
          <w:szCs w:val="24"/>
        </w:rPr>
        <w:t xml:space="preserve"> </w:t>
      </w:r>
      <w:r>
        <w:rPr>
          <w:rStyle w:val="10"/>
          <w:rFonts w:hAnsi="宋体" w:eastAsia="宋体"/>
          <w:sz w:val="24"/>
          <w:szCs w:val="24"/>
        </w:rPr>
        <w:t>水生生物资源状况</w:t>
      </w:r>
      <w:r>
        <w:rPr>
          <w:rFonts w:eastAsia="宋体"/>
          <w:sz w:val="24"/>
          <w:szCs w:val="24"/>
        </w:rPr>
        <w:tab/>
      </w:r>
      <w:r>
        <w:rPr>
          <w:rFonts w:eastAsia="宋体"/>
          <w:sz w:val="24"/>
          <w:szCs w:val="24"/>
        </w:rPr>
        <w:fldChar w:fldCharType="begin"/>
      </w:r>
      <w:r>
        <w:rPr>
          <w:rFonts w:eastAsia="宋体"/>
          <w:sz w:val="24"/>
          <w:szCs w:val="24"/>
        </w:rPr>
        <w:instrText xml:space="preserve"> PAGEREF _Toc532809855 \h </w:instrText>
      </w:r>
      <w:r>
        <w:rPr>
          <w:rFonts w:eastAsia="宋体"/>
          <w:sz w:val="24"/>
          <w:szCs w:val="24"/>
        </w:rPr>
        <w:fldChar w:fldCharType="separate"/>
      </w:r>
      <w:r>
        <w:rPr>
          <w:rFonts w:eastAsia="宋体"/>
          <w:sz w:val="24"/>
          <w:szCs w:val="24"/>
        </w:rPr>
        <w:t>16</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"_Toc532809856" </w:instrText>
      </w:r>
      <w:r>
        <w:fldChar w:fldCharType="separate"/>
      </w:r>
      <w:r>
        <w:rPr>
          <w:rStyle w:val="10"/>
          <w:rFonts w:hAnsi="宋体" w:eastAsia="宋体"/>
          <w:sz w:val="24"/>
          <w:szCs w:val="24"/>
        </w:rPr>
        <w:t>第四条</w:t>
      </w:r>
      <w:r>
        <w:rPr>
          <w:rStyle w:val="10"/>
          <w:rFonts w:eastAsia="宋体"/>
          <w:sz w:val="24"/>
          <w:szCs w:val="24"/>
        </w:rPr>
        <w:t xml:space="preserve"> </w:t>
      </w:r>
      <w:r>
        <w:rPr>
          <w:rStyle w:val="10"/>
          <w:rFonts w:hAnsi="宋体" w:eastAsia="宋体"/>
          <w:sz w:val="24"/>
          <w:szCs w:val="24"/>
        </w:rPr>
        <w:t>水域环境状况</w:t>
      </w:r>
      <w:r>
        <w:rPr>
          <w:rFonts w:eastAsia="宋体"/>
          <w:sz w:val="24"/>
          <w:szCs w:val="24"/>
        </w:rPr>
        <w:tab/>
      </w:r>
      <w:r>
        <w:rPr>
          <w:rFonts w:eastAsia="宋体"/>
          <w:sz w:val="24"/>
          <w:szCs w:val="24"/>
        </w:rPr>
        <w:fldChar w:fldCharType="begin"/>
      </w:r>
      <w:r>
        <w:rPr>
          <w:rFonts w:eastAsia="宋体"/>
          <w:sz w:val="24"/>
          <w:szCs w:val="24"/>
        </w:rPr>
        <w:instrText xml:space="preserve"> PAGEREF _Toc532809856 \h </w:instrText>
      </w:r>
      <w:r>
        <w:rPr>
          <w:rFonts w:eastAsia="宋体"/>
          <w:sz w:val="24"/>
          <w:szCs w:val="24"/>
        </w:rPr>
        <w:fldChar w:fldCharType="separate"/>
      </w:r>
      <w:r>
        <w:rPr>
          <w:rFonts w:eastAsia="宋体"/>
          <w:sz w:val="24"/>
          <w:szCs w:val="24"/>
        </w:rPr>
        <w:t>17</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"_Toc532809857" </w:instrText>
      </w:r>
      <w:r>
        <w:fldChar w:fldCharType="separate"/>
      </w:r>
      <w:r>
        <w:rPr>
          <w:rStyle w:val="10"/>
          <w:rFonts w:hAnsi="宋体" w:eastAsia="宋体"/>
          <w:sz w:val="24"/>
          <w:szCs w:val="24"/>
        </w:rPr>
        <w:t>第五条</w:t>
      </w:r>
      <w:r>
        <w:rPr>
          <w:rStyle w:val="10"/>
          <w:rFonts w:eastAsia="宋体"/>
          <w:sz w:val="24"/>
          <w:szCs w:val="24"/>
        </w:rPr>
        <w:t xml:space="preserve"> </w:t>
      </w:r>
      <w:r>
        <w:rPr>
          <w:rStyle w:val="10"/>
          <w:rFonts w:hAnsi="宋体" w:eastAsia="宋体"/>
          <w:sz w:val="24"/>
          <w:szCs w:val="24"/>
        </w:rPr>
        <w:t>水域滩涂承载力评价</w:t>
      </w:r>
      <w:r>
        <w:rPr>
          <w:rFonts w:eastAsia="宋体"/>
          <w:sz w:val="24"/>
          <w:szCs w:val="24"/>
        </w:rPr>
        <w:tab/>
      </w:r>
      <w:r>
        <w:rPr>
          <w:rFonts w:eastAsia="宋体"/>
          <w:sz w:val="24"/>
          <w:szCs w:val="24"/>
        </w:rPr>
        <w:fldChar w:fldCharType="begin"/>
      </w:r>
      <w:r>
        <w:rPr>
          <w:rFonts w:eastAsia="宋体"/>
          <w:sz w:val="24"/>
          <w:szCs w:val="24"/>
        </w:rPr>
        <w:instrText xml:space="preserve"> PAGEREF _Toc532809857 \h </w:instrText>
      </w:r>
      <w:r>
        <w:rPr>
          <w:rFonts w:eastAsia="宋体"/>
          <w:sz w:val="24"/>
          <w:szCs w:val="24"/>
        </w:rPr>
        <w:fldChar w:fldCharType="separate"/>
      </w:r>
      <w:r>
        <w:rPr>
          <w:rFonts w:eastAsia="宋体"/>
          <w:sz w:val="24"/>
          <w:szCs w:val="24"/>
        </w:rPr>
        <w:t>19</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"_Toc532809858" </w:instrText>
      </w:r>
      <w:r>
        <w:fldChar w:fldCharType="separate"/>
      </w:r>
      <w:r>
        <w:rPr>
          <w:rStyle w:val="10"/>
          <w:rFonts w:hAnsi="宋体" w:eastAsia="宋体"/>
          <w:sz w:val="24"/>
          <w:szCs w:val="24"/>
        </w:rPr>
        <w:t>第七节</w:t>
      </w:r>
      <w:r>
        <w:rPr>
          <w:rStyle w:val="10"/>
          <w:rFonts w:eastAsia="宋体"/>
          <w:sz w:val="24"/>
          <w:szCs w:val="24"/>
        </w:rPr>
        <w:t xml:space="preserve"> </w:t>
      </w:r>
      <w:r>
        <w:rPr>
          <w:rStyle w:val="10"/>
          <w:rFonts w:hAnsi="宋体" w:eastAsia="宋体"/>
          <w:sz w:val="24"/>
          <w:szCs w:val="24"/>
        </w:rPr>
        <w:t>水产养殖产业发展分析</w:t>
      </w:r>
      <w:r>
        <w:rPr>
          <w:rFonts w:eastAsia="宋体"/>
          <w:sz w:val="24"/>
          <w:szCs w:val="24"/>
        </w:rPr>
        <w:tab/>
      </w:r>
      <w:r>
        <w:rPr>
          <w:rFonts w:eastAsia="宋体"/>
          <w:sz w:val="24"/>
          <w:szCs w:val="24"/>
        </w:rPr>
        <w:fldChar w:fldCharType="begin"/>
      </w:r>
      <w:r>
        <w:rPr>
          <w:rFonts w:eastAsia="宋体"/>
          <w:sz w:val="24"/>
          <w:szCs w:val="24"/>
        </w:rPr>
        <w:instrText xml:space="preserve"> PAGEREF _Toc532809858 \h </w:instrText>
      </w:r>
      <w:r>
        <w:rPr>
          <w:rFonts w:eastAsia="宋体"/>
          <w:sz w:val="24"/>
          <w:szCs w:val="24"/>
        </w:rPr>
        <w:fldChar w:fldCharType="separate"/>
      </w:r>
      <w:r>
        <w:rPr>
          <w:rFonts w:eastAsia="宋体"/>
          <w:sz w:val="24"/>
          <w:szCs w:val="24"/>
        </w:rPr>
        <w:t>20</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"_Toc532809859" </w:instrText>
      </w:r>
      <w:r>
        <w:fldChar w:fldCharType="separate"/>
      </w:r>
      <w:r>
        <w:rPr>
          <w:rStyle w:val="10"/>
          <w:rFonts w:hAnsi="宋体" w:eastAsia="宋体"/>
          <w:sz w:val="24"/>
          <w:szCs w:val="24"/>
        </w:rPr>
        <w:t>第一条</w:t>
      </w:r>
      <w:r>
        <w:rPr>
          <w:rStyle w:val="10"/>
          <w:rFonts w:eastAsia="宋体"/>
          <w:sz w:val="24"/>
          <w:szCs w:val="24"/>
        </w:rPr>
        <w:t xml:space="preserve"> </w:t>
      </w:r>
      <w:r>
        <w:rPr>
          <w:rStyle w:val="10"/>
          <w:rFonts w:hAnsi="宋体" w:eastAsia="宋体"/>
          <w:sz w:val="24"/>
          <w:szCs w:val="24"/>
        </w:rPr>
        <w:t>水产养殖发展现状</w:t>
      </w:r>
      <w:r>
        <w:rPr>
          <w:rFonts w:eastAsia="宋体"/>
          <w:sz w:val="24"/>
          <w:szCs w:val="24"/>
        </w:rPr>
        <w:tab/>
      </w:r>
      <w:r>
        <w:rPr>
          <w:rFonts w:eastAsia="宋体"/>
          <w:sz w:val="24"/>
          <w:szCs w:val="24"/>
        </w:rPr>
        <w:fldChar w:fldCharType="begin"/>
      </w:r>
      <w:r>
        <w:rPr>
          <w:rFonts w:eastAsia="宋体"/>
          <w:sz w:val="24"/>
          <w:szCs w:val="24"/>
        </w:rPr>
        <w:instrText xml:space="preserve"> PAGEREF _Toc532809859 \h </w:instrText>
      </w:r>
      <w:r>
        <w:rPr>
          <w:rFonts w:eastAsia="宋体"/>
          <w:sz w:val="24"/>
          <w:szCs w:val="24"/>
        </w:rPr>
        <w:fldChar w:fldCharType="separate"/>
      </w:r>
      <w:r>
        <w:rPr>
          <w:rFonts w:eastAsia="宋体"/>
          <w:sz w:val="24"/>
          <w:szCs w:val="24"/>
        </w:rPr>
        <w:t>20</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"_Toc532809860" </w:instrText>
      </w:r>
      <w:r>
        <w:fldChar w:fldCharType="separate"/>
      </w:r>
      <w:r>
        <w:rPr>
          <w:rStyle w:val="10"/>
          <w:rFonts w:hAnsi="宋体" w:eastAsia="宋体"/>
          <w:sz w:val="24"/>
          <w:szCs w:val="24"/>
        </w:rPr>
        <w:t>第二条</w:t>
      </w:r>
      <w:r>
        <w:rPr>
          <w:rStyle w:val="10"/>
          <w:rFonts w:eastAsia="宋体"/>
          <w:sz w:val="24"/>
          <w:szCs w:val="24"/>
        </w:rPr>
        <w:t xml:space="preserve"> </w:t>
      </w:r>
      <w:r>
        <w:rPr>
          <w:rStyle w:val="10"/>
          <w:rFonts w:hAnsi="宋体" w:eastAsia="宋体"/>
          <w:sz w:val="24"/>
          <w:szCs w:val="24"/>
        </w:rPr>
        <w:t>区域经济发展方向</w:t>
      </w:r>
      <w:r>
        <w:rPr>
          <w:rFonts w:eastAsia="宋体"/>
          <w:sz w:val="24"/>
          <w:szCs w:val="24"/>
        </w:rPr>
        <w:tab/>
      </w:r>
      <w:r>
        <w:rPr>
          <w:rFonts w:eastAsia="宋体"/>
          <w:sz w:val="24"/>
          <w:szCs w:val="24"/>
        </w:rPr>
        <w:fldChar w:fldCharType="begin"/>
      </w:r>
      <w:r>
        <w:rPr>
          <w:rFonts w:eastAsia="宋体"/>
          <w:sz w:val="24"/>
          <w:szCs w:val="24"/>
        </w:rPr>
        <w:instrText xml:space="preserve"> PAGEREF _Toc532809860 \h </w:instrText>
      </w:r>
      <w:r>
        <w:rPr>
          <w:rFonts w:eastAsia="宋体"/>
          <w:sz w:val="24"/>
          <w:szCs w:val="24"/>
        </w:rPr>
        <w:fldChar w:fldCharType="separate"/>
      </w:r>
      <w:r>
        <w:rPr>
          <w:rFonts w:eastAsia="宋体"/>
          <w:sz w:val="24"/>
          <w:szCs w:val="24"/>
        </w:rPr>
        <w:t>22</w:t>
      </w:r>
      <w:r>
        <w:rPr>
          <w:rFonts w:eastAsia="宋体"/>
          <w:sz w:val="24"/>
          <w:szCs w:val="24"/>
        </w:rPr>
        <w:fldChar w:fldCharType="end"/>
      </w:r>
      <w:r>
        <w:rPr>
          <w:rFonts w:eastAsia="宋体"/>
          <w:sz w:val="24"/>
          <w:szCs w:val="24"/>
        </w:rPr>
        <w:fldChar w:fldCharType="end"/>
      </w:r>
    </w:p>
    <w:p>
      <w:pPr>
        <w:pStyle w:val="2"/>
        <w:tabs>
          <w:tab w:val="right" w:leader="dot" w:pos="8296"/>
        </w:tabs>
        <w:spacing w:line="360" w:lineRule="auto"/>
        <w:rPr>
          <w:rFonts w:eastAsia="宋体"/>
          <w:sz w:val="24"/>
          <w:szCs w:val="24"/>
        </w:rPr>
      </w:pPr>
      <w:r>
        <w:fldChar w:fldCharType="begin"/>
      </w:r>
      <w:r>
        <w:instrText xml:space="preserve"> HYPERLINK \l "_Toc532809861" </w:instrText>
      </w:r>
      <w:r>
        <w:fldChar w:fldCharType="separate"/>
      </w:r>
      <w:r>
        <w:rPr>
          <w:rStyle w:val="10"/>
          <w:rFonts w:hAnsi="宋体" w:eastAsia="宋体"/>
          <w:sz w:val="24"/>
          <w:szCs w:val="24"/>
        </w:rPr>
        <w:t>第三条</w:t>
      </w:r>
      <w:r>
        <w:rPr>
          <w:rStyle w:val="10"/>
          <w:rFonts w:eastAsia="宋体"/>
          <w:sz w:val="24"/>
          <w:szCs w:val="24"/>
        </w:rPr>
        <w:t xml:space="preserve"> </w:t>
      </w:r>
      <w:r>
        <w:rPr>
          <w:rStyle w:val="10"/>
          <w:rFonts w:hAnsi="宋体" w:eastAsia="宋体"/>
          <w:sz w:val="24"/>
          <w:szCs w:val="24"/>
        </w:rPr>
        <w:t>水产养殖前景预测</w:t>
      </w:r>
      <w:r>
        <w:rPr>
          <w:rFonts w:eastAsia="宋体"/>
          <w:sz w:val="24"/>
          <w:szCs w:val="24"/>
        </w:rPr>
        <w:tab/>
      </w:r>
      <w:r>
        <w:rPr>
          <w:rFonts w:eastAsia="宋体"/>
          <w:sz w:val="24"/>
          <w:szCs w:val="24"/>
        </w:rPr>
        <w:fldChar w:fldCharType="begin"/>
      </w:r>
      <w:r>
        <w:rPr>
          <w:rFonts w:eastAsia="宋体"/>
          <w:sz w:val="24"/>
          <w:szCs w:val="24"/>
        </w:rPr>
        <w:instrText xml:space="preserve"> PAGEREF _Toc532809861 \h </w:instrText>
      </w:r>
      <w:r>
        <w:rPr>
          <w:rFonts w:eastAsia="宋体"/>
          <w:sz w:val="24"/>
          <w:szCs w:val="24"/>
        </w:rPr>
        <w:fldChar w:fldCharType="separate"/>
      </w:r>
      <w:r>
        <w:rPr>
          <w:rFonts w:eastAsia="宋体"/>
          <w:sz w:val="24"/>
          <w:szCs w:val="24"/>
        </w:rPr>
        <w:t>26</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"_Toc532809862" </w:instrText>
      </w:r>
      <w:r>
        <w:fldChar w:fldCharType="separate"/>
      </w:r>
      <w:r>
        <w:rPr>
          <w:rStyle w:val="10"/>
          <w:rFonts w:hAnsi="宋体" w:eastAsia="宋体"/>
          <w:sz w:val="24"/>
          <w:szCs w:val="24"/>
        </w:rPr>
        <w:t>第八节</w:t>
      </w:r>
      <w:r>
        <w:rPr>
          <w:rStyle w:val="10"/>
          <w:rFonts w:eastAsia="宋体"/>
          <w:sz w:val="24"/>
          <w:szCs w:val="24"/>
        </w:rPr>
        <w:t xml:space="preserve"> </w:t>
      </w:r>
      <w:r>
        <w:rPr>
          <w:rStyle w:val="10"/>
          <w:rFonts w:hAnsi="宋体" w:eastAsia="宋体"/>
          <w:sz w:val="24"/>
          <w:szCs w:val="24"/>
        </w:rPr>
        <w:t>养殖水域滩涂开发总体思路</w:t>
      </w:r>
      <w:r>
        <w:rPr>
          <w:rFonts w:eastAsia="宋体"/>
          <w:sz w:val="24"/>
          <w:szCs w:val="24"/>
        </w:rPr>
        <w:tab/>
      </w:r>
      <w:r>
        <w:rPr>
          <w:rFonts w:eastAsia="宋体"/>
          <w:sz w:val="24"/>
          <w:szCs w:val="24"/>
        </w:rPr>
        <w:fldChar w:fldCharType="begin"/>
      </w:r>
      <w:r>
        <w:rPr>
          <w:rFonts w:eastAsia="宋体"/>
          <w:sz w:val="24"/>
          <w:szCs w:val="24"/>
        </w:rPr>
        <w:instrText xml:space="preserve"> PAGEREF _Toc532809862 \h </w:instrText>
      </w:r>
      <w:r>
        <w:rPr>
          <w:rFonts w:eastAsia="宋体"/>
          <w:sz w:val="24"/>
          <w:szCs w:val="24"/>
        </w:rPr>
        <w:fldChar w:fldCharType="separate"/>
      </w:r>
      <w:r>
        <w:rPr>
          <w:rFonts w:eastAsia="宋体"/>
          <w:sz w:val="24"/>
          <w:szCs w:val="24"/>
        </w:rPr>
        <w:t>30</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"_Toc532809863" </w:instrText>
      </w:r>
      <w:r>
        <w:fldChar w:fldCharType="separate"/>
      </w:r>
      <w:r>
        <w:rPr>
          <w:rStyle w:val="10"/>
          <w:rFonts w:hAnsi="宋体" w:eastAsia="宋体"/>
          <w:sz w:val="24"/>
          <w:szCs w:val="24"/>
        </w:rPr>
        <w:t>第三章</w:t>
      </w:r>
      <w:r>
        <w:rPr>
          <w:rStyle w:val="10"/>
          <w:rFonts w:eastAsia="宋体"/>
          <w:sz w:val="24"/>
          <w:szCs w:val="24"/>
        </w:rPr>
        <w:t xml:space="preserve">  </w:t>
      </w:r>
      <w:r>
        <w:rPr>
          <w:rStyle w:val="10"/>
          <w:rFonts w:hAnsi="宋体" w:eastAsia="宋体"/>
          <w:sz w:val="24"/>
          <w:szCs w:val="24"/>
        </w:rPr>
        <w:t>养殖水域滩涂功能区划</w:t>
      </w:r>
      <w:r>
        <w:rPr>
          <w:rFonts w:eastAsia="宋体"/>
          <w:sz w:val="24"/>
          <w:szCs w:val="24"/>
        </w:rPr>
        <w:tab/>
      </w:r>
      <w:r>
        <w:rPr>
          <w:rFonts w:eastAsia="宋体"/>
          <w:sz w:val="24"/>
          <w:szCs w:val="24"/>
        </w:rPr>
        <w:fldChar w:fldCharType="begin"/>
      </w:r>
      <w:r>
        <w:rPr>
          <w:rFonts w:eastAsia="宋体"/>
          <w:sz w:val="24"/>
          <w:szCs w:val="24"/>
        </w:rPr>
        <w:instrText xml:space="preserve"> PAGEREF _Toc532809863 \h </w:instrText>
      </w:r>
      <w:r>
        <w:rPr>
          <w:rFonts w:eastAsia="宋体"/>
          <w:sz w:val="24"/>
          <w:szCs w:val="24"/>
        </w:rPr>
        <w:fldChar w:fldCharType="separate"/>
      </w:r>
      <w:r>
        <w:rPr>
          <w:rFonts w:eastAsia="宋体"/>
          <w:sz w:val="24"/>
          <w:szCs w:val="24"/>
        </w:rPr>
        <w:t>34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"_Toc532809864" </w:instrText>
      </w:r>
      <w:r>
        <w:fldChar w:fldCharType="separate"/>
      </w:r>
      <w:r>
        <w:rPr>
          <w:rStyle w:val="10"/>
          <w:rFonts w:hAnsi="宋体" w:eastAsia="宋体"/>
          <w:sz w:val="24"/>
          <w:szCs w:val="24"/>
        </w:rPr>
        <w:t>第九节</w:t>
      </w:r>
      <w:r>
        <w:rPr>
          <w:rStyle w:val="10"/>
          <w:rFonts w:eastAsia="宋体"/>
          <w:sz w:val="24"/>
          <w:szCs w:val="24"/>
        </w:rPr>
        <w:t xml:space="preserve"> </w:t>
      </w:r>
      <w:r>
        <w:rPr>
          <w:rStyle w:val="10"/>
          <w:rFonts w:hAnsi="宋体" w:eastAsia="宋体"/>
          <w:sz w:val="24"/>
          <w:szCs w:val="24"/>
        </w:rPr>
        <w:t>功能区划概述</w:t>
      </w:r>
      <w:r>
        <w:rPr>
          <w:rFonts w:eastAsia="宋体"/>
          <w:sz w:val="24"/>
          <w:szCs w:val="24"/>
        </w:rPr>
        <w:tab/>
      </w:r>
      <w:r>
        <w:rPr>
          <w:rFonts w:eastAsia="宋体"/>
          <w:sz w:val="24"/>
          <w:szCs w:val="24"/>
        </w:rPr>
        <w:fldChar w:fldCharType="begin"/>
      </w:r>
      <w:r>
        <w:rPr>
          <w:rFonts w:eastAsia="宋体"/>
          <w:sz w:val="24"/>
          <w:szCs w:val="24"/>
        </w:rPr>
        <w:instrText xml:space="preserve"> PAGEREF _Toc532809864 \h </w:instrText>
      </w:r>
      <w:r>
        <w:rPr>
          <w:rFonts w:eastAsia="宋体"/>
          <w:sz w:val="24"/>
          <w:szCs w:val="24"/>
        </w:rPr>
        <w:fldChar w:fldCharType="separate"/>
      </w:r>
      <w:r>
        <w:rPr>
          <w:rFonts w:eastAsia="宋体"/>
          <w:sz w:val="24"/>
          <w:szCs w:val="24"/>
        </w:rPr>
        <w:t>34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"_Toc532809865" </w:instrText>
      </w:r>
      <w:r>
        <w:fldChar w:fldCharType="separate"/>
      </w:r>
      <w:r>
        <w:rPr>
          <w:rStyle w:val="10"/>
          <w:rFonts w:hAnsi="宋体" w:eastAsia="宋体"/>
          <w:sz w:val="24"/>
          <w:szCs w:val="24"/>
        </w:rPr>
        <w:t>第十节</w:t>
      </w:r>
      <w:r>
        <w:rPr>
          <w:rStyle w:val="10"/>
          <w:rFonts w:eastAsia="宋体"/>
          <w:sz w:val="24"/>
          <w:szCs w:val="24"/>
        </w:rPr>
        <w:t xml:space="preserve"> </w:t>
      </w:r>
      <w:r>
        <w:rPr>
          <w:rStyle w:val="10"/>
          <w:rFonts w:hAnsi="宋体" w:eastAsia="宋体"/>
          <w:sz w:val="24"/>
          <w:szCs w:val="24"/>
        </w:rPr>
        <w:t>禁止养殖区</w:t>
      </w:r>
      <w:r>
        <w:rPr>
          <w:rFonts w:eastAsia="宋体"/>
          <w:sz w:val="24"/>
          <w:szCs w:val="24"/>
        </w:rPr>
        <w:tab/>
      </w:r>
      <w:r>
        <w:rPr>
          <w:rFonts w:eastAsia="宋体"/>
          <w:sz w:val="24"/>
          <w:szCs w:val="24"/>
        </w:rPr>
        <w:fldChar w:fldCharType="begin"/>
      </w:r>
      <w:r>
        <w:rPr>
          <w:rFonts w:eastAsia="宋体"/>
          <w:sz w:val="24"/>
          <w:szCs w:val="24"/>
        </w:rPr>
        <w:instrText xml:space="preserve"> PAGEREF _Toc532809865 \h </w:instrText>
      </w:r>
      <w:r>
        <w:rPr>
          <w:rFonts w:eastAsia="宋体"/>
          <w:sz w:val="24"/>
          <w:szCs w:val="24"/>
        </w:rPr>
        <w:fldChar w:fldCharType="separate"/>
      </w:r>
      <w:r>
        <w:rPr>
          <w:rFonts w:eastAsia="宋体"/>
          <w:sz w:val="24"/>
          <w:szCs w:val="24"/>
        </w:rPr>
        <w:t>35</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"_Toc532809866" </w:instrText>
      </w:r>
      <w:r>
        <w:fldChar w:fldCharType="separate"/>
      </w:r>
      <w:r>
        <w:rPr>
          <w:rStyle w:val="10"/>
          <w:rFonts w:hAnsi="宋体" w:eastAsia="宋体"/>
          <w:sz w:val="24"/>
          <w:szCs w:val="24"/>
        </w:rPr>
        <w:t>第十一节</w:t>
      </w:r>
      <w:r>
        <w:rPr>
          <w:rStyle w:val="10"/>
          <w:rFonts w:eastAsia="宋体"/>
          <w:sz w:val="24"/>
          <w:szCs w:val="24"/>
        </w:rPr>
        <w:t xml:space="preserve"> </w:t>
      </w:r>
      <w:r>
        <w:rPr>
          <w:rStyle w:val="10"/>
          <w:rFonts w:hAnsi="宋体" w:eastAsia="宋体"/>
          <w:sz w:val="24"/>
          <w:szCs w:val="24"/>
        </w:rPr>
        <w:t>限制养殖区</w:t>
      </w:r>
      <w:r>
        <w:rPr>
          <w:rFonts w:eastAsia="宋体"/>
          <w:sz w:val="24"/>
          <w:szCs w:val="24"/>
        </w:rPr>
        <w:tab/>
      </w:r>
      <w:r>
        <w:rPr>
          <w:rFonts w:eastAsia="宋体"/>
          <w:sz w:val="24"/>
          <w:szCs w:val="24"/>
        </w:rPr>
        <w:fldChar w:fldCharType="begin"/>
      </w:r>
      <w:r>
        <w:rPr>
          <w:rFonts w:eastAsia="宋体"/>
          <w:sz w:val="24"/>
          <w:szCs w:val="24"/>
        </w:rPr>
        <w:instrText xml:space="preserve"> PAGEREF _Toc532809866 \h </w:instrText>
      </w:r>
      <w:r>
        <w:rPr>
          <w:rFonts w:eastAsia="宋体"/>
          <w:sz w:val="24"/>
          <w:szCs w:val="24"/>
        </w:rPr>
        <w:fldChar w:fldCharType="separate"/>
      </w:r>
      <w:r>
        <w:rPr>
          <w:rFonts w:eastAsia="宋体"/>
          <w:sz w:val="24"/>
          <w:szCs w:val="24"/>
        </w:rPr>
        <w:t>36</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"_Toc532809867" </w:instrText>
      </w:r>
      <w:r>
        <w:fldChar w:fldCharType="separate"/>
      </w:r>
      <w:r>
        <w:rPr>
          <w:rStyle w:val="10"/>
          <w:rFonts w:hAnsi="宋体" w:eastAsia="宋体"/>
          <w:sz w:val="24"/>
          <w:szCs w:val="24"/>
        </w:rPr>
        <w:t>第十二节</w:t>
      </w:r>
      <w:r>
        <w:rPr>
          <w:rStyle w:val="10"/>
          <w:rFonts w:eastAsia="宋体"/>
          <w:sz w:val="24"/>
          <w:szCs w:val="24"/>
        </w:rPr>
        <w:t xml:space="preserve"> </w:t>
      </w:r>
      <w:r>
        <w:rPr>
          <w:rStyle w:val="10"/>
          <w:rFonts w:hAnsi="宋体" w:eastAsia="宋体"/>
          <w:sz w:val="24"/>
          <w:szCs w:val="24"/>
        </w:rPr>
        <w:t>养殖区</w:t>
      </w:r>
      <w:r>
        <w:rPr>
          <w:rFonts w:eastAsia="宋体"/>
          <w:sz w:val="24"/>
          <w:szCs w:val="24"/>
        </w:rPr>
        <w:tab/>
      </w:r>
      <w:r>
        <w:rPr>
          <w:rFonts w:eastAsia="宋体"/>
          <w:sz w:val="24"/>
          <w:szCs w:val="24"/>
        </w:rPr>
        <w:fldChar w:fldCharType="begin"/>
      </w:r>
      <w:r>
        <w:rPr>
          <w:rFonts w:eastAsia="宋体"/>
          <w:sz w:val="24"/>
          <w:szCs w:val="24"/>
        </w:rPr>
        <w:instrText xml:space="preserve"> PAGEREF _Toc532809867 \h </w:instrText>
      </w:r>
      <w:r>
        <w:rPr>
          <w:rFonts w:eastAsia="宋体"/>
          <w:sz w:val="24"/>
          <w:szCs w:val="24"/>
        </w:rPr>
        <w:fldChar w:fldCharType="separate"/>
      </w:r>
      <w:r>
        <w:rPr>
          <w:rFonts w:eastAsia="宋体"/>
          <w:sz w:val="24"/>
          <w:szCs w:val="24"/>
        </w:rPr>
        <w:t>39</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"_Toc532809868" </w:instrText>
      </w:r>
      <w:r>
        <w:fldChar w:fldCharType="separate"/>
      </w:r>
      <w:r>
        <w:rPr>
          <w:rStyle w:val="10"/>
          <w:rFonts w:hAnsi="宋体" w:eastAsia="宋体"/>
          <w:sz w:val="24"/>
          <w:szCs w:val="24"/>
        </w:rPr>
        <w:t>第四章</w:t>
      </w:r>
      <w:r>
        <w:rPr>
          <w:rStyle w:val="10"/>
          <w:rFonts w:eastAsia="宋体"/>
          <w:sz w:val="24"/>
          <w:szCs w:val="24"/>
        </w:rPr>
        <w:t xml:space="preserve">  </w:t>
      </w:r>
      <w:r>
        <w:rPr>
          <w:rStyle w:val="10"/>
          <w:rFonts w:hAnsi="宋体" w:eastAsia="宋体"/>
          <w:sz w:val="24"/>
          <w:szCs w:val="24"/>
        </w:rPr>
        <w:t>保障措施</w:t>
      </w:r>
      <w:r>
        <w:rPr>
          <w:rFonts w:eastAsia="宋体"/>
          <w:sz w:val="24"/>
          <w:szCs w:val="24"/>
        </w:rPr>
        <w:tab/>
      </w:r>
      <w:r>
        <w:rPr>
          <w:rFonts w:eastAsia="宋体"/>
          <w:sz w:val="24"/>
          <w:szCs w:val="24"/>
        </w:rPr>
        <w:fldChar w:fldCharType="begin"/>
      </w:r>
      <w:r>
        <w:rPr>
          <w:rFonts w:eastAsia="宋体"/>
          <w:sz w:val="24"/>
          <w:szCs w:val="24"/>
        </w:rPr>
        <w:instrText xml:space="preserve"> PAGEREF _Toc532809868 \h </w:instrText>
      </w:r>
      <w:r>
        <w:rPr>
          <w:rFonts w:eastAsia="宋体"/>
          <w:sz w:val="24"/>
          <w:szCs w:val="24"/>
        </w:rPr>
        <w:fldChar w:fldCharType="separate"/>
      </w:r>
      <w:r>
        <w:rPr>
          <w:rFonts w:eastAsia="宋体"/>
          <w:sz w:val="24"/>
          <w:szCs w:val="24"/>
        </w:rPr>
        <w:t>43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"_Toc532809869" </w:instrText>
      </w:r>
      <w:r>
        <w:fldChar w:fldCharType="separate"/>
      </w:r>
      <w:r>
        <w:rPr>
          <w:rStyle w:val="10"/>
          <w:rFonts w:hAnsi="宋体" w:eastAsia="宋体"/>
          <w:sz w:val="24"/>
          <w:szCs w:val="24"/>
        </w:rPr>
        <w:t>第十三节</w:t>
      </w:r>
      <w:r>
        <w:rPr>
          <w:rStyle w:val="10"/>
          <w:rFonts w:eastAsia="宋体"/>
          <w:sz w:val="24"/>
          <w:szCs w:val="24"/>
        </w:rPr>
        <w:t xml:space="preserve"> </w:t>
      </w:r>
      <w:r>
        <w:rPr>
          <w:rStyle w:val="10"/>
          <w:rFonts w:hAnsi="宋体" w:eastAsia="宋体"/>
          <w:sz w:val="24"/>
          <w:szCs w:val="24"/>
        </w:rPr>
        <w:t>加强组织领导</w:t>
      </w:r>
      <w:r>
        <w:rPr>
          <w:rFonts w:eastAsia="宋体"/>
          <w:sz w:val="24"/>
          <w:szCs w:val="24"/>
        </w:rPr>
        <w:tab/>
      </w:r>
      <w:r>
        <w:rPr>
          <w:rFonts w:eastAsia="宋体"/>
          <w:sz w:val="24"/>
          <w:szCs w:val="24"/>
        </w:rPr>
        <w:fldChar w:fldCharType="begin"/>
      </w:r>
      <w:r>
        <w:rPr>
          <w:rFonts w:eastAsia="宋体"/>
          <w:sz w:val="24"/>
          <w:szCs w:val="24"/>
        </w:rPr>
        <w:instrText xml:space="preserve"> PAGEREF _Toc532809869 \h </w:instrText>
      </w:r>
      <w:r>
        <w:rPr>
          <w:rFonts w:eastAsia="宋体"/>
          <w:sz w:val="24"/>
          <w:szCs w:val="24"/>
        </w:rPr>
        <w:fldChar w:fldCharType="separate"/>
      </w:r>
      <w:r>
        <w:rPr>
          <w:rFonts w:eastAsia="宋体"/>
          <w:sz w:val="24"/>
          <w:szCs w:val="24"/>
        </w:rPr>
        <w:t>43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"_Toc532809870" </w:instrText>
      </w:r>
      <w:r>
        <w:fldChar w:fldCharType="separate"/>
      </w:r>
      <w:r>
        <w:rPr>
          <w:rStyle w:val="10"/>
          <w:rFonts w:hAnsi="宋体" w:eastAsia="宋体"/>
          <w:sz w:val="24"/>
          <w:szCs w:val="24"/>
        </w:rPr>
        <w:t>第十四节</w:t>
      </w:r>
      <w:r>
        <w:rPr>
          <w:rStyle w:val="10"/>
          <w:rFonts w:eastAsia="宋体"/>
          <w:sz w:val="24"/>
          <w:szCs w:val="24"/>
        </w:rPr>
        <w:t xml:space="preserve"> </w:t>
      </w:r>
      <w:r>
        <w:rPr>
          <w:rStyle w:val="10"/>
          <w:rFonts w:hAnsi="宋体" w:eastAsia="宋体"/>
          <w:sz w:val="24"/>
          <w:szCs w:val="24"/>
        </w:rPr>
        <w:t>强化监督检查</w:t>
      </w:r>
      <w:r>
        <w:rPr>
          <w:rFonts w:eastAsia="宋体"/>
          <w:sz w:val="24"/>
          <w:szCs w:val="24"/>
        </w:rPr>
        <w:tab/>
      </w:r>
      <w:r>
        <w:rPr>
          <w:rFonts w:eastAsia="宋体"/>
          <w:sz w:val="24"/>
          <w:szCs w:val="24"/>
        </w:rPr>
        <w:fldChar w:fldCharType="begin"/>
      </w:r>
      <w:r>
        <w:rPr>
          <w:rFonts w:eastAsia="宋体"/>
          <w:sz w:val="24"/>
          <w:szCs w:val="24"/>
        </w:rPr>
        <w:instrText xml:space="preserve"> PAGEREF _Toc532809870 \h </w:instrText>
      </w:r>
      <w:r>
        <w:rPr>
          <w:rFonts w:eastAsia="宋体"/>
          <w:sz w:val="24"/>
          <w:szCs w:val="24"/>
        </w:rPr>
        <w:fldChar w:fldCharType="separate"/>
      </w:r>
      <w:r>
        <w:rPr>
          <w:rFonts w:eastAsia="宋体"/>
          <w:sz w:val="24"/>
          <w:szCs w:val="24"/>
        </w:rPr>
        <w:t>44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"_Toc532809871" </w:instrText>
      </w:r>
      <w:r>
        <w:fldChar w:fldCharType="separate"/>
      </w:r>
      <w:r>
        <w:rPr>
          <w:rStyle w:val="10"/>
          <w:rFonts w:hAnsi="宋体" w:eastAsia="宋体"/>
          <w:sz w:val="24"/>
          <w:szCs w:val="24"/>
        </w:rPr>
        <w:t>第十五节</w:t>
      </w:r>
      <w:r>
        <w:rPr>
          <w:rStyle w:val="10"/>
          <w:rFonts w:eastAsia="宋体"/>
          <w:sz w:val="24"/>
          <w:szCs w:val="24"/>
        </w:rPr>
        <w:t xml:space="preserve"> </w:t>
      </w:r>
      <w:r>
        <w:rPr>
          <w:rStyle w:val="10"/>
          <w:rFonts w:hAnsi="宋体" w:eastAsia="宋体"/>
          <w:sz w:val="24"/>
          <w:szCs w:val="24"/>
        </w:rPr>
        <w:t>完善生态保护</w:t>
      </w:r>
      <w:r>
        <w:rPr>
          <w:rFonts w:eastAsia="宋体"/>
          <w:sz w:val="24"/>
          <w:szCs w:val="24"/>
        </w:rPr>
        <w:tab/>
      </w:r>
      <w:r>
        <w:rPr>
          <w:rFonts w:eastAsia="宋体"/>
          <w:sz w:val="24"/>
          <w:szCs w:val="24"/>
        </w:rPr>
        <w:fldChar w:fldCharType="begin"/>
      </w:r>
      <w:r>
        <w:rPr>
          <w:rFonts w:eastAsia="宋体"/>
          <w:sz w:val="24"/>
          <w:szCs w:val="24"/>
        </w:rPr>
        <w:instrText xml:space="preserve"> PAGEREF _Toc532809871 \h </w:instrText>
      </w:r>
      <w:r>
        <w:rPr>
          <w:rFonts w:eastAsia="宋体"/>
          <w:sz w:val="24"/>
          <w:szCs w:val="24"/>
        </w:rPr>
        <w:fldChar w:fldCharType="separate"/>
      </w:r>
      <w:r>
        <w:rPr>
          <w:rFonts w:eastAsia="宋体"/>
          <w:sz w:val="24"/>
          <w:szCs w:val="24"/>
        </w:rPr>
        <w:t>45</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"_Toc532809872" </w:instrText>
      </w:r>
      <w:r>
        <w:fldChar w:fldCharType="separate"/>
      </w:r>
      <w:r>
        <w:rPr>
          <w:rStyle w:val="10"/>
          <w:rFonts w:hAnsi="宋体" w:eastAsia="宋体"/>
          <w:sz w:val="24"/>
          <w:szCs w:val="24"/>
        </w:rPr>
        <w:t>第十六节</w:t>
      </w:r>
      <w:r>
        <w:rPr>
          <w:rStyle w:val="10"/>
          <w:rFonts w:eastAsia="宋体"/>
          <w:sz w:val="24"/>
          <w:szCs w:val="24"/>
        </w:rPr>
        <w:t xml:space="preserve"> </w:t>
      </w:r>
      <w:r>
        <w:rPr>
          <w:rStyle w:val="10"/>
          <w:rFonts w:hAnsi="宋体" w:eastAsia="宋体"/>
          <w:sz w:val="24"/>
          <w:szCs w:val="24"/>
        </w:rPr>
        <w:t>其他保障措施</w:t>
      </w:r>
      <w:r>
        <w:rPr>
          <w:rFonts w:eastAsia="宋体"/>
          <w:sz w:val="24"/>
          <w:szCs w:val="24"/>
        </w:rPr>
        <w:tab/>
      </w:r>
      <w:r>
        <w:rPr>
          <w:rFonts w:eastAsia="宋体"/>
          <w:sz w:val="24"/>
          <w:szCs w:val="24"/>
        </w:rPr>
        <w:fldChar w:fldCharType="begin"/>
      </w:r>
      <w:r>
        <w:rPr>
          <w:rFonts w:eastAsia="宋体"/>
          <w:sz w:val="24"/>
          <w:szCs w:val="24"/>
        </w:rPr>
        <w:instrText xml:space="preserve"> PAGEREF _Toc532809872 \h </w:instrText>
      </w:r>
      <w:r>
        <w:rPr>
          <w:rFonts w:eastAsia="宋体"/>
          <w:sz w:val="24"/>
          <w:szCs w:val="24"/>
        </w:rPr>
        <w:fldChar w:fldCharType="separate"/>
      </w:r>
      <w:r>
        <w:rPr>
          <w:rFonts w:eastAsia="宋体"/>
          <w:sz w:val="24"/>
          <w:szCs w:val="24"/>
        </w:rPr>
        <w:t>46</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"_Toc532809873" </w:instrText>
      </w:r>
      <w:r>
        <w:fldChar w:fldCharType="separate"/>
      </w:r>
      <w:r>
        <w:rPr>
          <w:rStyle w:val="10"/>
          <w:rFonts w:hAnsi="宋体" w:eastAsia="宋体"/>
          <w:bCs/>
          <w:sz w:val="24"/>
          <w:szCs w:val="24"/>
        </w:rPr>
        <w:t>第五章</w:t>
      </w:r>
      <w:r>
        <w:rPr>
          <w:rStyle w:val="10"/>
          <w:rFonts w:eastAsia="宋体"/>
          <w:bCs/>
          <w:sz w:val="24"/>
          <w:szCs w:val="24"/>
        </w:rPr>
        <w:t xml:space="preserve">  </w:t>
      </w:r>
      <w:r>
        <w:rPr>
          <w:rStyle w:val="10"/>
          <w:rFonts w:hAnsi="宋体" w:eastAsia="宋体"/>
          <w:bCs/>
          <w:sz w:val="24"/>
          <w:szCs w:val="24"/>
        </w:rPr>
        <w:t>附</w:t>
      </w:r>
      <w:r>
        <w:rPr>
          <w:rStyle w:val="10"/>
          <w:rFonts w:eastAsia="宋体"/>
          <w:bCs/>
          <w:sz w:val="24"/>
          <w:szCs w:val="24"/>
        </w:rPr>
        <w:t xml:space="preserve">  </w:t>
      </w:r>
      <w:r>
        <w:rPr>
          <w:rStyle w:val="10"/>
          <w:rFonts w:hAnsi="宋体" w:eastAsia="宋体"/>
          <w:bCs/>
          <w:sz w:val="24"/>
          <w:szCs w:val="24"/>
        </w:rPr>
        <w:t>则</w:t>
      </w:r>
      <w:r>
        <w:rPr>
          <w:rFonts w:eastAsia="宋体"/>
          <w:sz w:val="24"/>
          <w:szCs w:val="24"/>
        </w:rPr>
        <w:tab/>
      </w:r>
      <w:r>
        <w:rPr>
          <w:rFonts w:eastAsia="宋体"/>
          <w:sz w:val="24"/>
          <w:szCs w:val="24"/>
        </w:rPr>
        <w:fldChar w:fldCharType="begin"/>
      </w:r>
      <w:r>
        <w:rPr>
          <w:rFonts w:eastAsia="宋体"/>
          <w:sz w:val="24"/>
          <w:szCs w:val="24"/>
        </w:rPr>
        <w:instrText xml:space="preserve"> PAGEREF _Toc532809873 \h </w:instrText>
      </w:r>
      <w:r>
        <w:rPr>
          <w:rFonts w:eastAsia="宋体"/>
          <w:sz w:val="24"/>
          <w:szCs w:val="24"/>
        </w:rPr>
        <w:fldChar w:fldCharType="separate"/>
      </w:r>
      <w:r>
        <w:rPr>
          <w:rFonts w:eastAsia="宋体"/>
          <w:sz w:val="24"/>
          <w:szCs w:val="24"/>
        </w:rPr>
        <w:t>48</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"_Toc532809874" </w:instrText>
      </w:r>
      <w:r>
        <w:fldChar w:fldCharType="separate"/>
      </w:r>
      <w:r>
        <w:rPr>
          <w:rStyle w:val="10"/>
          <w:rFonts w:hAnsi="宋体" w:eastAsia="宋体"/>
          <w:sz w:val="24"/>
          <w:szCs w:val="24"/>
        </w:rPr>
        <w:t>第十七节</w:t>
      </w:r>
      <w:r>
        <w:rPr>
          <w:rStyle w:val="10"/>
          <w:rFonts w:eastAsia="宋体"/>
          <w:sz w:val="24"/>
          <w:szCs w:val="24"/>
        </w:rPr>
        <w:t xml:space="preserve"> </w:t>
      </w:r>
      <w:r>
        <w:rPr>
          <w:rStyle w:val="10"/>
          <w:rFonts w:hAnsi="宋体" w:eastAsia="宋体"/>
          <w:sz w:val="24"/>
          <w:szCs w:val="24"/>
        </w:rPr>
        <w:t>关于规划效力</w:t>
      </w:r>
      <w:r>
        <w:rPr>
          <w:rFonts w:eastAsia="宋体"/>
          <w:sz w:val="24"/>
          <w:szCs w:val="24"/>
        </w:rPr>
        <w:tab/>
      </w:r>
      <w:r>
        <w:rPr>
          <w:rFonts w:eastAsia="宋体"/>
          <w:sz w:val="24"/>
          <w:szCs w:val="24"/>
        </w:rPr>
        <w:fldChar w:fldCharType="begin"/>
      </w:r>
      <w:r>
        <w:rPr>
          <w:rFonts w:eastAsia="宋体"/>
          <w:sz w:val="24"/>
          <w:szCs w:val="24"/>
        </w:rPr>
        <w:instrText xml:space="preserve"> PAGEREF _Toc532809874 \h </w:instrText>
      </w:r>
      <w:r>
        <w:rPr>
          <w:rFonts w:eastAsia="宋体"/>
          <w:sz w:val="24"/>
          <w:szCs w:val="24"/>
        </w:rPr>
        <w:fldChar w:fldCharType="separate"/>
      </w:r>
      <w:r>
        <w:rPr>
          <w:rFonts w:eastAsia="宋体"/>
          <w:sz w:val="24"/>
          <w:szCs w:val="24"/>
        </w:rPr>
        <w:t>48</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"_Toc532809875" </w:instrText>
      </w:r>
      <w:r>
        <w:fldChar w:fldCharType="separate"/>
      </w:r>
      <w:r>
        <w:rPr>
          <w:rStyle w:val="10"/>
          <w:rFonts w:hAnsi="宋体" w:eastAsia="宋体"/>
          <w:sz w:val="24"/>
          <w:szCs w:val="24"/>
        </w:rPr>
        <w:t>第十八节</w:t>
      </w:r>
      <w:r>
        <w:rPr>
          <w:rStyle w:val="10"/>
          <w:rFonts w:eastAsia="宋体"/>
          <w:sz w:val="24"/>
          <w:szCs w:val="24"/>
        </w:rPr>
        <w:t xml:space="preserve"> </w:t>
      </w:r>
      <w:r>
        <w:rPr>
          <w:rStyle w:val="10"/>
          <w:rFonts w:hAnsi="宋体" w:eastAsia="宋体"/>
          <w:sz w:val="24"/>
          <w:szCs w:val="24"/>
        </w:rPr>
        <w:t>关于规划图件</w:t>
      </w:r>
      <w:r>
        <w:rPr>
          <w:rFonts w:eastAsia="宋体"/>
          <w:sz w:val="24"/>
          <w:szCs w:val="24"/>
        </w:rPr>
        <w:tab/>
      </w:r>
      <w:r>
        <w:rPr>
          <w:rFonts w:eastAsia="宋体"/>
          <w:sz w:val="24"/>
          <w:szCs w:val="24"/>
        </w:rPr>
        <w:fldChar w:fldCharType="begin"/>
      </w:r>
      <w:r>
        <w:rPr>
          <w:rFonts w:eastAsia="宋体"/>
          <w:sz w:val="24"/>
          <w:szCs w:val="24"/>
        </w:rPr>
        <w:instrText xml:space="preserve"> PAGEREF _Toc532809875 \h </w:instrText>
      </w:r>
      <w:r>
        <w:rPr>
          <w:rFonts w:eastAsia="宋体"/>
          <w:sz w:val="24"/>
          <w:szCs w:val="24"/>
        </w:rPr>
        <w:fldChar w:fldCharType="separate"/>
      </w:r>
      <w:r>
        <w:rPr>
          <w:rFonts w:eastAsia="宋体"/>
          <w:sz w:val="24"/>
          <w:szCs w:val="24"/>
        </w:rPr>
        <w:t>48</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"_Toc532809876" </w:instrText>
      </w:r>
      <w:r>
        <w:fldChar w:fldCharType="separate"/>
      </w:r>
      <w:r>
        <w:rPr>
          <w:rStyle w:val="10"/>
          <w:rFonts w:hAnsi="宋体" w:eastAsia="宋体"/>
          <w:sz w:val="24"/>
          <w:szCs w:val="24"/>
        </w:rPr>
        <w:t>附录</w:t>
      </w:r>
      <w:r>
        <w:rPr>
          <w:rFonts w:eastAsia="宋体"/>
          <w:sz w:val="24"/>
          <w:szCs w:val="24"/>
        </w:rPr>
        <w:tab/>
      </w:r>
      <w:r>
        <w:rPr>
          <w:rFonts w:eastAsia="宋体"/>
          <w:sz w:val="24"/>
          <w:szCs w:val="24"/>
        </w:rPr>
        <w:fldChar w:fldCharType="begin"/>
      </w:r>
      <w:r>
        <w:rPr>
          <w:rFonts w:eastAsia="宋体"/>
          <w:sz w:val="24"/>
          <w:szCs w:val="24"/>
        </w:rPr>
        <w:instrText xml:space="preserve"> PAGEREF _Toc532809876 \h </w:instrText>
      </w:r>
      <w:r>
        <w:rPr>
          <w:rFonts w:eastAsia="宋体"/>
          <w:sz w:val="24"/>
          <w:szCs w:val="24"/>
        </w:rPr>
        <w:fldChar w:fldCharType="separate"/>
      </w:r>
      <w:r>
        <w:rPr>
          <w:rFonts w:eastAsia="宋体"/>
          <w:sz w:val="24"/>
          <w:szCs w:val="24"/>
        </w:rPr>
        <w:t>49</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"_Toc532809877" </w:instrText>
      </w:r>
      <w:r>
        <w:fldChar w:fldCharType="separate"/>
      </w:r>
      <w:r>
        <w:rPr>
          <w:rStyle w:val="10"/>
          <w:rFonts w:hAnsi="宋体" w:eastAsia="宋体"/>
          <w:sz w:val="24"/>
          <w:szCs w:val="24"/>
        </w:rPr>
        <w:t>附表</w:t>
      </w:r>
      <w:r>
        <w:rPr>
          <w:rFonts w:eastAsia="宋体"/>
          <w:sz w:val="24"/>
          <w:szCs w:val="24"/>
        </w:rPr>
        <w:tab/>
      </w:r>
      <w:r>
        <w:rPr>
          <w:rFonts w:eastAsia="宋体"/>
          <w:sz w:val="24"/>
          <w:szCs w:val="24"/>
        </w:rPr>
        <w:fldChar w:fldCharType="begin"/>
      </w:r>
      <w:r>
        <w:rPr>
          <w:rFonts w:eastAsia="宋体"/>
          <w:sz w:val="24"/>
          <w:szCs w:val="24"/>
        </w:rPr>
        <w:instrText xml:space="preserve"> PAGEREF _Toc532809877 \h </w:instrText>
      </w:r>
      <w:r>
        <w:rPr>
          <w:rFonts w:eastAsia="宋体"/>
          <w:sz w:val="24"/>
          <w:szCs w:val="24"/>
        </w:rPr>
        <w:fldChar w:fldCharType="separate"/>
      </w:r>
      <w:r>
        <w:rPr>
          <w:rFonts w:eastAsia="宋体"/>
          <w:sz w:val="24"/>
          <w:szCs w:val="24"/>
        </w:rPr>
        <w:t>53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"_Toc532809878" </w:instrText>
      </w:r>
      <w:r>
        <w:fldChar w:fldCharType="separate"/>
      </w:r>
      <w:r>
        <w:rPr>
          <w:rStyle w:val="10"/>
          <w:rFonts w:hAnsi="宋体" w:eastAsia="宋体"/>
          <w:sz w:val="24"/>
          <w:szCs w:val="24"/>
        </w:rPr>
        <w:t>表</w:t>
      </w:r>
      <w:r>
        <w:rPr>
          <w:rStyle w:val="10"/>
          <w:rFonts w:eastAsia="宋体"/>
          <w:sz w:val="24"/>
          <w:szCs w:val="24"/>
        </w:rPr>
        <w:t xml:space="preserve">1 </w:t>
      </w:r>
      <w:r>
        <w:rPr>
          <w:rStyle w:val="10"/>
          <w:rFonts w:hAnsi="宋体" w:eastAsia="宋体"/>
          <w:sz w:val="24"/>
          <w:szCs w:val="24"/>
        </w:rPr>
        <w:t>陕西省养殖水域滩涂功能区划表</w:t>
      </w:r>
      <w:r>
        <w:rPr>
          <w:rFonts w:eastAsia="宋体"/>
          <w:sz w:val="24"/>
          <w:szCs w:val="24"/>
        </w:rPr>
        <w:tab/>
      </w:r>
      <w:r>
        <w:rPr>
          <w:rFonts w:eastAsia="宋体"/>
          <w:sz w:val="24"/>
          <w:szCs w:val="24"/>
        </w:rPr>
        <w:fldChar w:fldCharType="begin"/>
      </w:r>
      <w:r>
        <w:rPr>
          <w:rFonts w:eastAsia="宋体"/>
          <w:sz w:val="24"/>
          <w:szCs w:val="24"/>
        </w:rPr>
        <w:instrText xml:space="preserve"> PAGEREF _Toc532809878 \h </w:instrText>
      </w:r>
      <w:r>
        <w:rPr>
          <w:rFonts w:eastAsia="宋体"/>
          <w:sz w:val="24"/>
          <w:szCs w:val="24"/>
        </w:rPr>
        <w:fldChar w:fldCharType="separate"/>
      </w:r>
      <w:r>
        <w:rPr>
          <w:rFonts w:eastAsia="宋体"/>
          <w:sz w:val="24"/>
          <w:szCs w:val="24"/>
        </w:rPr>
        <w:t>53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"_Toc532809879" </w:instrText>
      </w:r>
      <w:r>
        <w:fldChar w:fldCharType="separate"/>
      </w:r>
      <w:r>
        <w:rPr>
          <w:rStyle w:val="10"/>
          <w:rFonts w:hAnsi="宋体" w:eastAsia="宋体"/>
          <w:sz w:val="24"/>
          <w:szCs w:val="24"/>
        </w:rPr>
        <w:t>表</w:t>
      </w:r>
      <w:r>
        <w:rPr>
          <w:rStyle w:val="10"/>
          <w:rFonts w:eastAsia="宋体"/>
          <w:sz w:val="24"/>
          <w:szCs w:val="24"/>
        </w:rPr>
        <w:t xml:space="preserve">2 </w:t>
      </w:r>
      <w:r>
        <w:rPr>
          <w:rStyle w:val="10"/>
          <w:rFonts w:hAnsi="宋体" w:eastAsia="宋体"/>
          <w:sz w:val="24"/>
          <w:szCs w:val="24"/>
        </w:rPr>
        <w:t>养殖水域滩涂规划表</w:t>
      </w:r>
      <w:r>
        <w:rPr>
          <w:rFonts w:eastAsia="宋体"/>
          <w:sz w:val="24"/>
          <w:szCs w:val="24"/>
        </w:rPr>
        <w:tab/>
      </w:r>
      <w:r>
        <w:rPr>
          <w:rFonts w:eastAsia="宋体"/>
          <w:sz w:val="24"/>
          <w:szCs w:val="24"/>
        </w:rPr>
        <w:fldChar w:fldCharType="begin"/>
      </w:r>
      <w:r>
        <w:rPr>
          <w:rFonts w:eastAsia="宋体"/>
          <w:sz w:val="24"/>
          <w:szCs w:val="24"/>
        </w:rPr>
        <w:instrText xml:space="preserve"> PAGEREF _Toc532809879 \h </w:instrText>
      </w:r>
      <w:r>
        <w:rPr>
          <w:rFonts w:eastAsia="宋体"/>
          <w:sz w:val="24"/>
          <w:szCs w:val="24"/>
        </w:rPr>
        <w:fldChar w:fldCharType="separate"/>
      </w:r>
      <w:r>
        <w:rPr>
          <w:rFonts w:eastAsia="宋体"/>
          <w:sz w:val="24"/>
          <w:szCs w:val="24"/>
        </w:rPr>
        <w:t>54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"_Toc532809880" </w:instrText>
      </w:r>
      <w:r>
        <w:fldChar w:fldCharType="separate"/>
      </w:r>
      <w:r>
        <w:rPr>
          <w:rStyle w:val="10"/>
          <w:rFonts w:hAnsi="宋体" w:eastAsia="宋体"/>
          <w:sz w:val="24"/>
          <w:szCs w:val="24"/>
        </w:rPr>
        <w:t>表</w:t>
      </w:r>
      <w:r>
        <w:rPr>
          <w:rStyle w:val="10"/>
          <w:rFonts w:eastAsia="宋体"/>
          <w:sz w:val="24"/>
          <w:szCs w:val="24"/>
        </w:rPr>
        <w:t xml:space="preserve">3 </w:t>
      </w:r>
      <w:r>
        <w:rPr>
          <w:rStyle w:val="10"/>
          <w:rFonts w:hAnsi="宋体" w:eastAsia="宋体"/>
          <w:sz w:val="24"/>
          <w:szCs w:val="24"/>
        </w:rPr>
        <w:t>水域滩涂养殖现状与规划对比表</w:t>
      </w:r>
      <w:r>
        <w:rPr>
          <w:rFonts w:eastAsia="宋体"/>
          <w:sz w:val="24"/>
          <w:szCs w:val="24"/>
        </w:rPr>
        <w:tab/>
      </w:r>
      <w:r>
        <w:rPr>
          <w:rFonts w:eastAsia="宋体"/>
          <w:sz w:val="24"/>
          <w:szCs w:val="24"/>
        </w:rPr>
        <w:fldChar w:fldCharType="begin"/>
      </w:r>
      <w:r>
        <w:rPr>
          <w:rFonts w:eastAsia="宋体"/>
          <w:sz w:val="24"/>
          <w:szCs w:val="24"/>
        </w:rPr>
        <w:instrText xml:space="preserve"> PAGEREF _Toc532809880 \h </w:instrText>
      </w:r>
      <w:r>
        <w:rPr>
          <w:rFonts w:eastAsia="宋体"/>
          <w:sz w:val="24"/>
          <w:szCs w:val="24"/>
        </w:rPr>
        <w:fldChar w:fldCharType="separate"/>
      </w:r>
      <w:r>
        <w:rPr>
          <w:rFonts w:eastAsia="宋体"/>
          <w:sz w:val="24"/>
          <w:szCs w:val="24"/>
        </w:rPr>
        <w:t>54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"_Toc532809881" </w:instrText>
      </w:r>
      <w:r>
        <w:fldChar w:fldCharType="separate"/>
      </w:r>
      <w:r>
        <w:rPr>
          <w:rStyle w:val="10"/>
          <w:rFonts w:hAnsi="宋体" w:eastAsia="宋体"/>
          <w:sz w:val="24"/>
          <w:szCs w:val="24"/>
        </w:rPr>
        <w:t>表</w:t>
      </w:r>
      <w:r>
        <w:rPr>
          <w:rStyle w:val="10"/>
          <w:rFonts w:eastAsia="宋体"/>
          <w:sz w:val="24"/>
          <w:szCs w:val="24"/>
        </w:rPr>
        <w:t xml:space="preserve">4 </w:t>
      </w:r>
      <w:r>
        <w:rPr>
          <w:rStyle w:val="10"/>
          <w:rFonts w:hAnsi="宋体" w:eastAsia="宋体"/>
          <w:sz w:val="24"/>
          <w:szCs w:val="24"/>
        </w:rPr>
        <w:t>榆阳区禁止养殖区规划信息表</w:t>
      </w:r>
      <w:r>
        <w:rPr>
          <w:rFonts w:eastAsia="宋体"/>
          <w:sz w:val="24"/>
          <w:szCs w:val="24"/>
        </w:rPr>
        <w:tab/>
      </w:r>
      <w:r>
        <w:rPr>
          <w:rFonts w:eastAsia="宋体"/>
          <w:sz w:val="24"/>
          <w:szCs w:val="24"/>
        </w:rPr>
        <w:fldChar w:fldCharType="begin"/>
      </w:r>
      <w:r>
        <w:rPr>
          <w:rFonts w:eastAsia="宋体"/>
          <w:sz w:val="24"/>
          <w:szCs w:val="24"/>
        </w:rPr>
        <w:instrText xml:space="preserve"> PAGEREF _Toc532809881 \h </w:instrText>
      </w:r>
      <w:r>
        <w:rPr>
          <w:rFonts w:eastAsia="宋体"/>
          <w:sz w:val="24"/>
          <w:szCs w:val="24"/>
        </w:rPr>
        <w:fldChar w:fldCharType="separate"/>
      </w:r>
      <w:r>
        <w:rPr>
          <w:rFonts w:eastAsia="宋体"/>
          <w:sz w:val="24"/>
          <w:szCs w:val="24"/>
        </w:rPr>
        <w:t>55</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"_Toc532809882" </w:instrText>
      </w:r>
      <w:r>
        <w:fldChar w:fldCharType="separate"/>
      </w:r>
      <w:r>
        <w:rPr>
          <w:rStyle w:val="10"/>
          <w:rFonts w:hAnsi="宋体" w:eastAsia="宋体"/>
          <w:sz w:val="24"/>
          <w:szCs w:val="24"/>
        </w:rPr>
        <w:t>表</w:t>
      </w:r>
      <w:r>
        <w:rPr>
          <w:rStyle w:val="10"/>
          <w:rFonts w:eastAsia="宋体"/>
          <w:sz w:val="24"/>
          <w:szCs w:val="24"/>
        </w:rPr>
        <w:t xml:space="preserve">5 </w:t>
      </w:r>
      <w:r>
        <w:rPr>
          <w:rStyle w:val="10"/>
          <w:rFonts w:hAnsi="宋体" w:eastAsia="宋体"/>
          <w:sz w:val="24"/>
          <w:szCs w:val="24"/>
        </w:rPr>
        <w:t>榆阳区限制养殖区规划信息表</w:t>
      </w:r>
      <w:r>
        <w:rPr>
          <w:rFonts w:eastAsia="宋体"/>
          <w:sz w:val="24"/>
          <w:szCs w:val="24"/>
        </w:rPr>
        <w:tab/>
      </w:r>
      <w:r>
        <w:rPr>
          <w:rFonts w:eastAsia="宋体"/>
          <w:sz w:val="24"/>
          <w:szCs w:val="24"/>
        </w:rPr>
        <w:fldChar w:fldCharType="begin"/>
      </w:r>
      <w:r>
        <w:rPr>
          <w:rFonts w:eastAsia="宋体"/>
          <w:sz w:val="24"/>
          <w:szCs w:val="24"/>
        </w:rPr>
        <w:instrText xml:space="preserve"> PAGEREF _Toc532809882 \h </w:instrText>
      </w:r>
      <w:r>
        <w:rPr>
          <w:rFonts w:eastAsia="宋体"/>
          <w:sz w:val="24"/>
          <w:szCs w:val="24"/>
        </w:rPr>
        <w:fldChar w:fldCharType="separate"/>
      </w:r>
      <w:r>
        <w:rPr>
          <w:rFonts w:eastAsia="宋体"/>
          <w:sz w:val="24"/>
          <w:szCs w:val="24"/>
        </w:rPr>
        <w:t>55</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"_Toc532809883" </w:instrText>
      </w:r>
      <w:r>
        <w:fldChar w:fldCharType="separate"/>
      </w:r>
      <w:r>
        <w:rPr>
          <w:rStyle w:val="10"/>
          <w:rFonts w:hAnsi="宋体" w:eastAsia="宋体"/>
          <w:sz w:val="24"/>
          <w:szCs w:val="24"/>
        </w:rPr>
        <w:t>表</w:t>
      </w:r>
      <w:r>
        <w:rPr>
          <w:rStyle w:val="10"/>
          <w:rFonts w:eastAsia="宋体"/>
          <w:sz w:val="24"/>
          <w:szCs w:val="24"/>
        </w:rPr>
        <w:t xml:space="preserve">6.1 </w:t>
      </w:r>
      <w:r>
        <w:rPr>
          <w:rStyle w:val="10"/>
          <w:rFonts w:hAnsi="宋体" w:eastAsia="宋体"/>
          <w:sz w:val="24"/>
          <w:szCs w:val="24"/>
        </w:rPr>
        <w:t>榆阳区池塘养殖区规划信息表</w:t>
      </w:r>
      <w:r>
        <w:rPr>
          <w:rFonts w:eastAsia="宋体"/>
          <w:sz w:val="24"/>
          <w:szCs w:val="24"/>
        </w:rPr>
        <w:tab/>
      </w:r>
      <w:r>
        <w:rPr>
          <w:rFonts w:eastAsia="宋体"/>
          <w:sz w:val="24"/>
          <w:szCs w:val="24"/>
        </w:rPr>
        <w:fldChar w:fldCharType="begin"/>
      </w:r>
      <w:r>
        <w:rPr>
          <w:rFonts w:eastAsia="宋体"/>
          <w:sz w:val="24"/>
          <w:szCs w:val="24"/>
        </w:rPr>
        <w:instrText xml:space="preserve"> PAGEREF _Toc532809883 \h </w:instrText>
      </w:r>
      <w:r>
        <w:rPr>
          <w:rFonts w:eastAsia="宋体"/>
          <w:sz w:val="24"/>
          <w:szCs w:val="24"/>
        </w:rPr>
        <w:fldChar w:fldCharType="separate"/>
      </w:r>
      <w:r>
        <w:rPr>
          <w:rFonts w:eastAsia="宋体"/>
          <w:sz w:val="24"/>
          <w:szCs w:val="24"/>
        </w:rPr>
        <w:t>56</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"_Toc532809884" </w:instrText>
      </w:r>
      <w:r>
        <w:fldChar w:fldCharType="separate"/>
      </w:r>
      <w:r>
        <w:rPr>
          <w:rStyle w:val="10"/>
          <w:rFonts w:hAnsi="宋体" w:eastAsia="宋体"/>
          <w:sz w:val="24"/>
          <w:szCs w:val="24"/>
        </w:rPr>
        <w:t>表</w:t>
      </w:r>
      <w:r>
        <w:rPr>
          <w:rStyle w:val="10"/>
          <w:rFonts w:eastAsia="宋体"/>
          <w:sz w:val="24"/>
          <w:szCs w:val="24"/>
        </w:rPr>
        <w:t xml:space="preserve">6.2 </w:t>
      </w:r>
      <w:r>
        <w:rPr>
          <w:rStyle w:val="10"/>
          <w:rFonts w:hAnsi="宋体" w:eastAsia="宋体"/>
          <w:sz w:val="24"/>
          <w:szCs w:val="24"/>
        </w:rPr>
        <w:t>榆阳区湖泊养殖区规划信息表</w:t>
      </w:r>
      <w:r>
        <w:rPr>
          <w:rFonts w:eastAsia="宋体"/>
          <w:sz w:val="24"/>
          <w:szCs w:val="24"/>
        </w:rPr>
        <w:tab/>
      </w:r>
      <w:r>
        <w:rPr>
          <w:rFonts w:eastAsia="宋体"/>
          <w:sz w:val="24"/>
          <w:szCs w:val="24"/>
        </w:rPr>
        <w:fldChar w:fldCharType="begin"/>
      </w:r>
      <w:r>
        <w:rPr>
          <w:rFonts w:eastAsia="宋体"/>
          <w:sz w:val="24"/>
          <w:szCs w:val="24"/>
        </w:rPr>
        <w:instrText xml:space="preserve"> PAGEREF _Toc532809884 \h </w:instrText>
      </w:r>
      <w:r>
        <w:rPr>
          <w:rFonts w:eastAsia="宋体"/>
          <w:sz w:val="24"/>
          <w:szCs w:val="24"/>
        </w:rPr>
        <w:fldChar w:fldCharType="separate"/>
      </w:r>
      <w:r>
        <w:rPr>
          <w:rFonts w:eastAsia="宋体"/>
          <w:sz w:val="24"/>
          <w:szCs w:val="24"/>
        </w:rPr>
        <w:t>60</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"_Toc532809885" </w:instrText>
      </w:r>
      <w:r>
        <w:fldChar w:fldCharType="separate"/>
      </w:r>
      <w:r>
        <w:rPr>
          <w:rStyle w:val="10"/>
          <w:rFonts w:hAnsi="宋体" w:eastAsia="宋体"/>
          <w:sz w:val="24"/>
          <w:szCs w:val="24"/>
        </w:rPr>
        <w:t>表</w:t>
      </w:r>
      <w:r>
        <w:rPr>
          <w:rStyle w:val="10"/>
          <w:rFonts w:eastAsia="宋体"/>
          <w:sz w:val="24"/>
          <w:szCs w:val="24"/>
        </w:rPr>
        <w:t xml:space="preserve">6.3 </w:t>
      </w:r>
      <w:r>
        <w:rPr>
          <w:rStyle w:val="10"/>
          <w:rFonts w:hAnsi="宋体" w:eastAsia="宋体"/>
          <w:sz w:val="24"/>
          <w:szCs w:val="24"/>
        </w:rPr>
        <w:t>榆阳区水库养殖区规划信息表</w:t>
      </w:r>
      <w:r>
        <w:rPr>
          <w:rFonts w:eastAsia="宋体"/>
          <w:sz w:val="24"/>
          <w:szCs w:val="24"/>
        </w:rPr>
        <w:tab/>
      </w:r>
      <w:r>
        <w:rPr>
          <w:rFonts w:eastAsia="宋体"/>
          <w:sz w:val="24"/>
          <w:szCs w:val="24"/>
        </w:rPr>
        <w:fldChar w:fldCharType="begin"/>
      </w:r>
      <w:r>
        <w:rPr>
          <w:rFonts w:eastAsia="宋体"/>
          <w:sz w:val="24"/>
          <w:szCs w:val="24"/>
        </w:rPr>
        <w:instrText xml:space="preserve"> PAGEREF _Toc532809885 \h </w:instrText>
      </w:r>
      <w:r>
        <w:rPr>
          <w:rFonts w:eastAsia="宋体"/>
          <w:sz w:val="24"/>
          <w:szCs w:val="24"/>
        </w:rPr>
        <w:fldChar w:fldCharType="separate"/>
      </w:r>
      <w:r>
        <w:rPr>
          <w:rFonts w:eastAsia="宋体"/>
          <w:sz w:val="24"/>
          <w:szCs w:val="24"/>
        </w:rPr>
        <w:t>61</w:t>
      </w:r>
      <w:r>
        <w:rPr>
          <w:rFonts w:eastAsia="宋体"/>
          <w:sz w:val="24"/>
          <w:szCs w:val="24"/>
        </w:rPr>
        <w:fldChar w:fldCharType="end"/>
      </w:r>
      <w:r>
        <w:rPr>
          <w:rFonts w:eastAsia="宋体"/>
          <w:sz w:val="24"/>
          <w:szCs w:val="24"/>
        </w:rPr>
        <w:fldChar w:fldCharType="end"/>
      </w:r>
    </w:p>
    <w:p>
      <w:pPr>
        <w:pStyle w:val="7"/>
        <w:spacing w:line="360" w:lineRule="auto"/>
        <w:rPr>
          <w:rFonts w:eastAsia="宋体"/>
          <w:sz w:val="24"/>
          <w:szCs w:val="24"/>
        </w:rPr>
      </w:pPr>
      <w:r>
        <w:fldChar w:fldCharType="begin"/>
      </w:r>
      <w:r>
        <w:instrText xml:space="preserve"> HYPERLINK \l "_Toc532809886" </w:instrText>
      </w:r>
      <w:r>
        <w:fldChar w:fldCharType="separate"/>
      </w:r>
      <w:r>
        <w:rPr>
          <w:rStyle w:val="10"/>
          <w:rFonts w:hAnsi="宋体" w:eastAsia="宋体"/>
          <w:sz w:val="24"/>
          <w:szCs w:val="24"/>
        </w:rPr>
        <w:t>附图</w:t>
      </w:r>
      <w:r>
        <w:rPr>
          <w:rFonts w:eastAsia="宋体"/>
          <w:sz w:val="24"/>
          <w:szCs w:val="24"/>
        </w:rPr>
        <w:tab/>
      </w:r>
      <w:r>
        <w:rPr>
          <w:rFonts w:eastAsia="宋体"/>
          <w:sz w:val="24"/>
          <w:szCs w:val="24"/>
        </w:rPr>
        <w:fldChar w:fldCharType="begin"/>
      </w:r>
      <w:r>
        <w:rPr>
          <w:rFonts w:eastAsia="宋体"/>
          <w:sz w:val="24"/>
          <w:szCs w:val="24"/>
        </w:rPr>
        <w:instrText xml:space="preserve"> PAGEREF _Toc532809886 \h </w:instrText>
      </w:r>
      <w:r>
        <w:rPr>
          <w:rFonts w:eastAsia="宋体"/>
          <w:sz w:val="24"/>
          <w:szCs w:val="24"/>
        </w:rPr>
        <w:fldChar w:fldCharType="separate"/>
      </w:r>
      <w:r>
        <w:rPr>
          <w:rFonts w:eastAsia="宋体"/>
          <w:sz w:val="24"/>
          <w:szCs w:val="24"/>
        </w:rPr>
        <w:t>63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"_Toc532809887" </w:instrText>
      </w:r>
      <w:r>
        <w:fldChar w:fldCharType="separate"/>
      </w:r>
      <w:r>
        <w:rPr>
          <w:rStyle w:val="10"/>
          <w:rFonts w:hAnsi="宋体" w:eastAsia="宋体"/>
          <w:sz w:val="24"/>
          <w:szCs w:val="24"/>
        </w:rPr>
        <w:t>图</w:t>
      </w:r>
      <w:r>
        <w:rPr>
          <w:rStyle w:val="10"/>
          <w:rFonts w:eastAsia="宋体"/>
          <w:sz w:val="24"/>
          <w:szCs w:val="24"/>
        </w:rPr>
        <w:t xml:space="preserve">1 </w:t>
      </w:r>
      <w:r>
        <w:rPr>
          <w:rStyle w:val="10"/>
          <w:rFonts w:hAnsi="宋体" w:eastAsia="宋体"/>
          <w:sz w:val="24"/>
          <w:szCs w:val="24"/>
        </w:rPr>
        <w:t>榆阳区养殖水域滩涂规划图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_Toc532809887 \h </w:instrText>
      </w:r>
      <w:r>
        <w:rPr>
          <w:rFonts w:eastAsia="宋体"/>
          <w:sz w:val="24"/>
          <w:szCs w:val="24"/>
        </w:rPr>
        <w:fldChar w:fldCharType="separate"/>
      </w:r>
      <w:r>
        <w:rPr>
          <w:rFonts w:eastAsia="宋体"/>
          <w:sz w:val="24"/>
          <w:szCs w:val="24"/>
        </w:rPr>
        <w:t>63</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"_Toc532809888" </w:instrText>
      </w:r>
      <w:r>
        <w:fldChar w:fldCharType="separate"/>
      </w:r>
      <w:r>
        <w:rPr>
          <w:rStyle w:val="10"/>
          <w:rFonts w:hAnsi="宋体" w:eastAsia="宋体"/>
          <w:sz w:val="24"/>
          <w:szCs w:val="24"/>
        </w:rPr>
        <w:t>图</w:t>
      </w:r>
      <w:r>
        <w:rPr>
          <w:rStyle w:val="10"/>
          <w:rFonts w:eastAsia="宋体"/>
          <w:sz w:val="24"/>
          <w:szCs w:val="24"/>
        </w:rPr>
        <w:t xml:space="preserve">2 </w:t>
      </w:r>
      <w:r>
        <w:rPr>
          <w:rStyle w:val="10"/>
          <w:rFonts w:hAnsi="宋体" w:eastAsia="宋体"/>
          <w:sz w:val="24"/>
          <w:szCs w:val="24"/>
        </w:rPr>
        <w:t>榆阳区禁止养殖区规划图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_Toc532809888 \h </w:instrText>
      </w:r>
      <w:r>
        <w:rPr>
          <w:rFonts w:eastAsia="宋体"/>
          <w:sz w:val="24"/>
          <w:szCs w:val="24"/>
        </w:rPr>
        <w:fldChar w:fldCharType="separate"/>
      </w:r>
      <w:r>
        <w:rPr>
          <w:rFonts w:eastAsia="宋体"/>
          <w:sz w:val="24"/>
          <w:szCs w:val="24"/>
        </w:rPr>
        <w:t>64</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"_Toc532809889" </w:instrText>
      </w:r>
      <w:r>
        <w:fldChar w:fldCharType="separate"/>
      </w:r>
      <w:r>
        <w:rPr>
          <w:rStyle w:val="10"/>
          <w:rFonts w:hAnsi="宋体" w:eastAsia="宋体"/>
          <w:sz w:val="24"/>
          <w:szCs w:val="24"/>
        </w:rPr>
        <w:t>图</w:t>
      </w:r>
      <w:r>
        <w:rPr>
          <w:rStyle w:val="10"/>
          <w:rFonts w:eastAsia="宋体"/>
          <w:sz w:val="24"/>
          <w:szCs w:val="24"/>
        </w:rPr>
        <w:t xml:space="preserve">3 </w:t>
      </w:r>
      <w:r>
        <w:rPr>
          <w:rStyle w:val="10"/>
          <w:rFonts w:hAnsi="宋体" w:eastAsia="宋体"/>
          <w:sz w:val="24"/>
          <w:szCs w:val="24"/>
        </w:rPr>
        <w:t>榆阳区限制养殖区规划图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_Toc532809889 \h </w:instrText>
      </w:r>
      <w:r>
        <w:rPr>
          <w:rFonts w:eastAsia="宋体"/>
          <w:sz w:val="24"/>
          <w:szCs w:val="24"/>
        </w:rPr>
        <w:fldChar w:fldCharType="separate"/>
      </w:r>
      <w:r>
        <w:rPr>
          <w:rFonts w:eastAsia="宋体"/>
          <w:sz w:val="24"/>
          <w:szCs w:val="24"/>
        </w:rPr>
        <w:t>65</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"_Toc532809890" </w:instrText>
      </w:r>
      <w:r>
        <w:fldChar w:fldCharType="separate"/>
      </w:r>
      <w:r>
        <w:rPr>
          <w:rStyle w:val="10"/>
          <w:rFonts w:hAnsi="宋体" w:eastAsia="宋体"/>
          <w:sz w:val="24"/>
          <w:szCs w:val="24"/>
        </w:rPr>
        <w:t>图</w:t>
      </w:r>
      <w:r>
        <w:rPr>
          <w:rStyle w:val="10"/>
          <w:rFonts w:eastAsia="宋体"/>
          <w:sz w:val="24"/>
          <w:szCs w:val="24"/>
        </w:rPr>
        <w:t xml:space="preserve">4 </w:t>
      </w:r>
      <w:r>
        <w:rPr>
          <w:rStyle w:val="10"/>
          <w:rFonts w:hAnsi="宋体" w:eastAsia="宋体"/>
          <w:sz w:val="24"/>
          <w:szCs w:val="24"/>
        </w:rPr>
        <w:t>榆阳区养殖区规划图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_Toc532809890 \h </w:instrText>
      </w:r>
      <w:r>
        <w:rPr>
          <w:rFonts w:eastAsia="宋体"/>
          <w:sz w:val="24"/>
          <w:szCs w:val="24"/>
        </w:rPr>
        <w:fldChar w:fldCharType="separate"/>
      </w:r>
      <w:r>
        <w:rPr>
          <w:rFonts w:eastAsia="宋体"/>
          <w:sz w:val="24"/>
          <w:szCs w:val="24"/>
        </w:rPr>
        <w:t>66</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"_Toc532809891" </w:instrText>
      </w:r>
      <w:r>
        <w:fldChar w:fldCharType="separate"/>
      </w:r>
      <w:r>
        <w:rPr>
          <w:rStyle w:val="10"/>
          <w:rFonts w:hAnsi="宋体" w:eastAsia="宋体"/>
          <w:sz w:val="24"/>
          <w:szCs w:val="24"/>
        </w:rPr>
        <w:t>图</w:t>
      </w:r>
      <w:r>
        <w:rPr>
          <w:rStyle w:val="10"/>
          <w:rFonts w:eastAsia="宋体"/>
          <w:sz w:val="24"/>
          <w:szCs w:val="24"/>
        </w:rPr>
        <w:t xml:space="preserve">4.1 </w:t>
      </w:r>
      <w:r>
        <w:rPr>
          <w:rStyle w:val="10"/>
          <w:rFonts w:hAnsi="宋体" w:eastAsia="宋体"/>
          <w:sz w:val="24"/>
          <w:szCs w:val="24"/>
        </w:rPr>
        <w:t>榆阳区池塘养殖区规划图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_Toc532809891 \h </w:instrText>
      </w:r>
      <w:r>
        <w:rPr>
          <w:rFonts w:eastAsia="宋体"/>
          <w:sz w:val="24"/>
          <w:szCs w:val="24"/>
        </w:rPr>
        <w:fldChar w:fldCharType="separate"/>
      </w:r>
      <w:r>
        <w:rPr>
          <w:rFonts w:eastAsia="宋体"/>
          <w:sz w:val="24"/>
          <w:szCs w:val="24"/>
        </w:rPr>
        <w:t>67</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"_Toc532809892" </w:instrText>
      </w:r>
      <w:r>
        <w:fldChar w:fldCharType="separate"/>
      </w:r>
      <w:r>
        <w:rPr>
          <w:rStyle w:val="10"/>
          <w:rFonts w:hAnsi="宋体" w:eastAsia="宋体"/>
          <w:sz w:val="24"/>
          <w:szCs w:val="24"/>
        </w:rPr>
        <w:t>图</w:t>
      </w:r>
      <w:r>
        <w:rPr>
          <w:rStyle w:val="10"/>
          <w:rFonts w:eastAsia="宋体"/>
          <w:sz w:val="24"/>
          <w:szCs w:val="24"/>
        </w:rPr>
        <w:t xml:space="preserve">4.2 </w:t>
      </w:r>
      <w:r>
        <w:rPr>
          <w:rStyle w:val="10"/>
          <w:rFonts w:hAnsi="宋体" w:eastAsia="宋体"/>
          <w:sz w:val="24"/>
          <w:szCs w:val="24"/>
        </w:rPr>
        <w:t>榆阳区湖泊养殖区规划图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_Toc532809892 \h </w:instrText>
      </w:r>
      <w:r>
        <w:rPr>
          <w:rFonts w:eastAsia="宋体"/>
          <w:sz w:val="24"/>
          <w:szCs w:val="24"/>
        </w:rPr>
        <w:fldChar w:fldCharType="separate"/>
      </w:r>
      <w:r>
        <w:rPr>
          <w:rFonts w:eastAsia="宋体"/>
          <w:sz w:val="24"/>
          <w:szCs w:val="24"/>
        </w:rPr>
        <w:t>68</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"_Toc532809893" </w:instrText>
      </w:r>
      <w:r>
        <w:fldChar w:fldCharType="separate"/>
      </w:r>
      <w:r>
        <w:rPr>
          <w:rStyle w:val="10"/>
          <w:rFonts w:hAnsi="宋体" w:eastAsia="宋体"/>
          <w:sz w:val="24"/>
          <w:szCs w:val="24"/>
        </w:rPr>
        <w:t>图</w:t>
      </w:r>
      <w:r>
        <w:rPr>
          <w:rStyle w:val="10"/>
          <w:rFonts w:eastAsia="宋体"/>
          <w:sz w:val="24"/>
          <w:szCs w:val="24"/>
        </w:rPr>
        <w:t xml:space="preserve">4.3 </w:t>
      </w:r>
      <w:r>
        <w:rPr>
          <w:rStyle w:val="10"/>
          <w:rFonts w:hAnsi="宋体" w:eastAsia="宋体"/>
          <w:sz w:val="24"/>
          <w:szCs w:val="24"/>
        </w:rPr>
        <w:t>榆阳区水库养殖区规划图</w:t>
      </w:r>
      <w:r>
        <w:rPr>
          <w:rFonts w:eastAsia="宋体"/>
          <w:sz w:val="24"/>
          <w:szCs w:val="24"/>
        </w:rPr>
        <w:tab/>
      </w:r>
      <w:r>
        <w:rPr>
          <w:rFonts w:eastAsia="宋体"/>
          <w:sz w:val="24"/>
          <w:szCs w:val="24"/>
        </w:rPr>
        <w:fldChar w:fldCharType="begin"/>
      </w:r>
      <w:r>
        <w:rPr>
          <w:rFonts w:eastAsia="宋体"/>
          <w:sz w:val="24"/>
          <w:szCs w:val="24"/>
        </w:rPr>
        <w:instrText xml:space="preserve"> PAGEREF _Toc532809893 \h </w:instrText>
      </w:r>
      <w:r>
        <w:rPr>
          <w:rFonts w:eastAsia="宋体"/>
          <w:sz w:val="24"/>
          <w:szCs w:val="24"/>
        </w:rPr>
        <w:fldChar w:fldCharType="separate"/>
      </w:r>
      <w:r>
        <w:rPr>
          <w:rFonts w:eastAsia="宋体"/>
          <w:sz w:val="24"/>
          <w:szCs w:val="24"/>
        </w:rPr>
        <w:t>69</w:t>
      </w:r>
      <w:r>
        <w:rPr>
          <w:rFonts w:eastAsia="宋体"/>
          <w:sz w:val="24"/>
          <w:szCs w:val="24"/>
        </w:rPr>
        <w:fldChar w:fldCharType="end"/>
      </w:r>
      <w:r>
        <w:rPr>
          <w:rFonts w:eastAsia="宋体"/>
          <w:sz w:val="24"/>
          <w:szCs w:val="24"/>
        </w:rPr>
        <w:fldChar w:fldCharType="end"/>
      </w:r>
    </w:p>
    <w:p>
      <w:pPr>
        <w:pStyle w:val="8"/>
        <w:tabs>
          <w:tab w:val="right" w:leader="dot" w:pos="8296"/>
        </w:tabs>
        <w:spacing w:line="360" w:lineRule="auto"/>
        <w:rPr>
          <w:rFonts w:eastAsia="宋体"/>
          <w:sz w:val="24"/>
          <w:szCs w:val="24"/>
        </w:rPr>
      </w:pPr>
      <w:r>
        <w:fldChar w:fldCharType="begin"/>
      </w:r>
      <w:r>
        <w:instrText xml:space="preserve"> HYPERLINK \l "_Toc532809894" </w:instrText>
      </w:r>
      <w:r>
        <w:fldChar w:fldCharType="separate"/>
      </w:r>
      <w:r>
        <w:rPr>
          <w:rStyle w:val="10"/>
          <w:rFonts w:hAnsi="宋体" w:eastAsia="宋体"/>
          <w:sz w:val="24"/>
          <w:szCs w:val="24"/>
        </w:rPr>
        <w:t>图</w:t>
      </w:r>
      <w:r>
        <w:rPr>
          <w:rStyle w:val="10"/>
          <w:rFonts w:eastAsia="宋体"/>
          <w:sz w:val="24"/>
          <w:szCs w:val="24"/>
        </w:rPr>
        <w:t xml:space="preserve">5 </w:t>
      </w:r>
      <w:r>
        <w:rPr>
          <w:rStyle w:val="10"/>
          <w:rFonts w:hAnsi="宋体" w:eastAsia="宋体"/>
          <w:sz w:val="24"/>
          <w:szCs w:val="24"/>
        </w:rPr>
        <w:t>榆阳区</w:t>
      </w:r>
      <w:r>
        <w:rPr>
          <w:rStyle w:val="10"/>
          <w:rFonts w:eastAsia="宋体"/>
          <w:sz w:val="24"/>
          <w:szCs w:val="24"/>
        </w:rPr>
        <w:t>2017</w:t>
      </w:r>
      <w:r>
        <w:rPr>
          <w:rStyle w:val="10"/>
          <w:rFonts w:hAnsi="宋体" w:eastAsia="宋体"/>
          <w:sz w:val="24"/>
          <w:szCs w:val="24"/>
        </w:rPr>
        <w:t>年水域滩涂养殖现状图</w:t>
      </w:r>
      <w:r>
        <w:rPr>
          <w:rFonts w:eastAsia="宋体"/>
          <w:sz w:val="24"/>
          <w:szCs w:val="24"/>
        </w:rPr>
        <w:tab/>
      </w:r>
      <w:r>
        <w:rPr>
          <w:rFonts w:eastAsia="宋体"/>
          <w:sz w:val="24"/>
          <w:szCs w:val="24"/>
        </w:rPr>
        <w:fldChar w:fldCharType="begin"/>
      </w:r>
      <w:r>
        <w:rPr>
          <w:rFonts w:eastAsia="宋体"/>
          <w:sz w:val="24"/>
          <w:szCs w:val="24"/>
        </w:rPr>
        <w:instrText xml:space="preserve"> PAGEREF _Toc532809894 \h </w:instrText>
      </w:r>
      <w:r>
        <w:rPr>
          <w:rFonts w:eastAsia="宋体"/>
          <w:sz w:val="24"/>
          <w:szCs w:val="24"/>
        </w:rPr>
        <w:fldChar w:fldCharType="separate"/>
      </w:r>
      <w:r>
        <w:rPr>
          <w:rFonts w:eastAsia="宋体"/>
          <w:sz w:val="24"/>
          <w:szCs w:val="24"/>
        </w:rPr>
        <w:t>70</w:t>
      </w:r>
      <w:r>
        <w:rPr>
          <w:rFonts w:eastAsia="宋体"/>
          <w:sz w:val="24"/>
          <w:szCs w:val="24"/>
        </w:rPr>
        <w:fldChar w:fldCharType="end"/>
      </w:r>
      <w:r>
        <w:rPr>
          <w:rFonts w:eastAsia="宋体"/>
          <w:sz w:val="24"/>
          <w:szCs w:val="24"/>
        </w:rPr>
        <w:fldChar w:fldCharType="end"/>
      </w:r>
    </w:p>
    <w:p>
      <w:pPr>
        <w:spacing w:line="360" w:lineRule="auto"/>
      </w:pPr>
      <w:r>
        <w:rPr>
          <w:rFonts w:eastAsia="宋体"/>
          <w:sz w:val="24"/>
          <w:szCs w:val="24"/>
        </w:rPr>
        <w:fldChar w:fldCharType="end"/>
      </w:r>
    </w:p>
    <w:p/>
    <w:p>
      <w:pPr>
        <w:sectPr>
          <w:pgSz w:w="11906" w:h="16838"/>
          <w:pgMar w:top="1440" w:right="1800" w:bottom="1440" w:left="1800" w:header="851" w:footer="992" w:gutter="0"/>
          <w:cols w:space="720" w:num="1"/>
          <w:docGrid w:type="lines" w:linePitch="312" w:charSpace="0"/>
        </w:sectPr>
      </w:pPr>
    </w:p>
    <w:p>
      <w:pPr>
        <w:spacing w:beforeLines="100" w:afterLines="100"/>
        <w:jc w:val="center"/>
        <w:outlineLvl w:val="0"/>
        <w:rPr>
          <w:rFonts w:ascii="黑体" w:eastAsia="黑体"/>
          <w:sz w:val="32"/>
          <w:szCs w:val="32"/>
        </w:rPr>
      </w:pPr>
      <w:bookmarkStart w:id="0" w:name="_Toc532809845"/>
      <w:bookmarkStart w:id="1" w:name="_Toc529609940"/>
      <w:r>
        <w:rPr>
          <w:rFonts w:hint="eastAsia" w:ascii="黑体" w:eastAsia="黑体"/>
          <w:sz w:val="32"/>
          <w:szCs w:val="32"/>
        </w:rPr>
        <w:t>第一章  总  则</w:t>
      </w:r>
      <w:bookmarkEnd w:id="0"/>
      <w:bookmarkEnd w:id="1"/>
    </w:p>
    <w:p>
      <w:pPr>
        <w:spacing w:beforeLines="50" w:afterLines="50"/>
        <w:outlineLvl w:val="1"/>
        <w:rPr>
          <w:b/>
          <w:sz w:val="30"/>
          <w:szCs w:val="30"/>
        </w:rPr>
      </w:pPr>
      <w:bookmarkStart w:id="2" w:name="_Toc529609941"/>
      <w:bookmarkStart w:id="3" w:name="_Toc532809846"/>
      <w:r>
        <w:rPr>
          <w:rFonts w:hint="eastAsia"/>
          <w:b/>
          <w:sz w:val="30"/>
          <w:szCs w:val="30"/>
        </w:rPr>
        <w:t>第一节 前言</w:t>
      </w:r>
      <w:bookmarkEnd w:id="2"/>
      <w:bookmarkEnd w:id="3"/>
    </w:p>
    <w:p>
      <w:pPr>
        <w:rPr>
          <w:b/>
          <w:sz w:val="28"/>
          <w:szCs w:val="28"/>
        </w:rPr>
      </w:pPr>
      <w:r>
        <w:rPr>
          <w:rFonts w:hint="eastAsia"/>
          <w:b/>
          <w:sz w:val="28"/>
          <w:szCs w:val="28"/>
        </w:rPr>
        <w:t>一、面临形势</w:t>
      </w:r>
    </w:p>
    <w:p>
      <w:pPr>
        <w:ind w:firstLine="560" w:firstLineChars="200"/>
        <w:rPr>
          <w:sz w:val="28"/>
          <w:szCs w:val="28"/>
        </w:rPr>
      </w:pPr>
      <w:r>
        <w:rPr>
          <w:rFonts w:hint="eastAsia"/>
          <w:sz w:val="28"/>
          <w:szCs w:val="28"/>
        </w:rPr>
        <w:t>十九大明确提出了实施乡村振兴战略，并将其作为七大战略之一写入党章，促进农业农村发展提到了前所未有的高度。乡村振兴战略的实施对渔业发展带来了重大战略机遇。渔业不仅要为人民群众提供丰富的水产品，还要提供优美的水生态环境。农业部《2018年渔业渔政工作要点》提出，加快推进渔业供给侧结构性改革，促进“绿色兴渔、质量兴渔、品牌强渔”。2018年1月全国渔业转型升级推进会提出了“提质增效、减量增收、绿色发展、富裕渔民”的十六字目标，为新时代渔业产业进行了新的定位。</w:t>
      </w:r>
    </w:p>
    <w:p>
      <w:pPr>
        <w:ind w:firstLine="560" w:firstLineChars="200"/>
        <w:rPr>
          <w:sz w:val="28"/>
          <w:szCs w:val="28"/>
        </w:rPr>
      </w:pPr>
      <w:r>
        <w:rPr>
          <w:rFonts w:hint="eastAsia"/>
          <w:sz w:val="28"/>
          <w:szCs w:val="28"/>
        </w:rPr>
        <w:t xml:space="preserve"> “十二五”期间，榆阳区渔业发展取得了巨大的进步，越来越多的水产养殖品种逐渐丰富了市民们的菜篮子，养殖模式不断更新，渔民养殖技术水平进一步提高，水产养殖效益有了明显提高。2015年，榆阳区水产品产量达2521吨，占全市水产品的1/3，渔业总产值3041万元。全区有50个养殖户，渔业从业人员1172人，专业人员202人，有规模性、集约化养殖6家，解决了约1500人的就业问题。全区渔业经过不断开拓创新，已成为大农业中发展速度快、效益高、优势明显的重要产业之一。目前，榆阳区养殖水面已达3.6万亩，河流水域纵横，渔业、土地资源丰富，生产条件良好，具有发展生态渔业和优势特色渔业的巨大潜力。</w:t>
      </w:r>
    </w:p>
    <w:p>
      <w:pPr>
        <w:ind w:firstLine="560" w:firstLineChars="200"/>
        <w:rPr>
          <w:sz w:val="28"/>
          <w:szCs w:val="28"/>
        </w:rPr>
      </w:pPr>
      <w:r>
        <w:rPr>
          <w:rFonts w:hint="eastAsia"/>
          <w:sz w:val="28"/>
          <w:szCs w:val="28"/>
        </w:rPr>
        <w:t>当前渔业产业转型升级仍然面临一些问题：一是环境质量持续承压，基础设施建设滞后；二是养殖水域滩涂区划模糊，无序发展存在安全隐患；三是违法违规现象普遍，管控手段乏力；四是观念落后，产业结构仍需调整。养殖水域滩涂是水域生态环境的重要组成部分，是推进水产养殖绿色发展的基石，做好养殖水域滩涂空间布局，转变渔业发展方式已迫在眉睫。</w:t>
      </w:r>
    </w:p>
    <w:p>
      <w:pPr>
        <w:rPr>
          <w:b/>
          <w:sz w:val="28"/>
          <w:szCs w:val="28"/>
        </w:rPr>
      </w:pPr>
      <w:r>
        <w:rPr>
          <w:rFonts w:hint="eastAsia"/>
          <w:b/>
          <w:sz w:val="28"/>
          <w:szCs w:val="28"/>
        </w:rPr>
        <w:t>二、编制背景</w:t>
      </w:r>
    </w:p>
    <w:p>
      <w:pPr>
        <w:ind w:firstLine="560" w:firstLineChars="200"/>
        <w:rPr>
          <w:sz w:val="28"/>
          <w:szCs w:val="28"/>
        </w:rPr>
      </w:pPr>
      <w:r>
        <w:rPr>
          <w:rFonts w:hint="eastAsia"/>
          <w:sz w:val="28"/>
          <w:szCs w:val="28"/>
        </w:rPr>
        <w:t>养殖水域滩涂规划是渔业管理的基本制度，是水产养殖业发展的布局依据，是推进产业转型升级的重要抓手。为贯彻落实《中共中央 国务院关于加快推进生态文明建设的意见》（中发〔2015〕12号）、《国务院关于印发水污染防治行动计划的通知》（国发〔2015〕17号）要求，根据《中华人民共和国渔业法》等法律，按照《农业部关于印发〈养殖水域滩涂规划编制工作规范〉和〈养殖水域滩涂规划编制大纲〉的通知》（农渔发〔2016〕39号）中的要求编制《榆林市榆阳区养殖水域滩涂规划（2017-2030）》，以促进水产养殖业健康持续发展，加快推进水产养殖业转方式调结构。根据《中华人民共和国渔业法》等法律法规的规定，科学划定禁止养殖区、限制养殖区和养殖区，实现渔业可持续发展。</w:t>
      </w:r>
    </w:p>
    <w:p>
      <w:pPr>
        <w:rPr>
          <w:b/>
          <w:sz w:val="28"/>
          <w:szCs w:val="28"/>
        </w:rPr>
      </w:pPr>
      <w:r>
        <w:rPr>
          <w:rFonts w:hint="eastAsia"/>
          <w:b/>
          <w:sz w:val="28"/>
          <w:szCs w:val="28"/>
        </w:rPr>
        <w:t>三、目的意义</w:t>
      </w:r>
    </w:p>
    <w:p>
      <w:pPr>
        <w:ind w:firstLine="560" w:firstLineChars="200"/>
        <w:rPr>
          <w:sz w:val="28"/>
          <w:szCs w:val="28"/>
        </w:rPr>
      </w:pPr>
      <w:r>
        <w:rPr>
          <w:rFonts w:hint="eastAsia"/>
          <w:sz w:val="28"/>
          <w:szCs w:val="28"/>
        </w:rPr>
        <w:t>以“创新、协调、绿色、开放、共享”五大发展理念为引领，结合本地区域经济发展和生态保护的需要，在科学评价水域滩涂资源和环境承载力的基础上，依法科学合理划分各类水产养殖功能区。规划生效期间，把控养殖功能区现状，稳定基本养殖水域，合理布局水产养殖生产，保护水域生态环境，保障渔民合法权益，从而确保水产品有效供给安全、环境生态安全和产品质量安全，实现提质增效、减量增收、绿色发展、富裕渔民的发展总目标。《榆林市榆阳区养殖水域滩涂规划（2017-2030）》对于进一步完善和推进榆阳区水产养殖管理制度，合理开发和利用养殖水域滩涂资源，提高市场竞争力，保护环境生态安全，促进渔业持续健康绿色发展具有重要的意义。</w:t>
      </w:r>
    </w:p>
    <w:p>
      <w:pPr>
        <w:spacing w:beforeLines="50" w:afterLines="50"/>
        <w:outlineLvl w:val="1"/>
        <w:rPr>
          <w:b/>
          <w:sz w:val="30"/>
          <w:szCs w:val="30"/>
        </w:rPr>
      </w:pPr>
      <w:bookmarkStart w:id="4" w:name="_Toc532809847"/>
      <w:bookmarkStart w:id="5" w:name="_Toc529609942"/>
      <w:r>
        <w:rPr>
          <w:rFonts w:hint="eastAsia"/>
          <w:b/>
          <w:sz w:val="30"/>
          <w:szCs w:val="30"/>
        </w:rPr>
        <w:t>第二节 编制依据</w:t>
      </w:r>
      <w:bookmarkEnd w:id="4"/>
      <w:bookmarkEnd w:id="5"/>
    </w:p>
    <w:p>
      <w:pPr>
        <w:rPr>
          <w:sz w:val="28"/>
          <w:szCs w:val="28"/>
        </w:rPr>
      </w:pPr>
      <w:r>
        <w:rPr>
          <w:rFonts w:hint="eastAsia"/>
          <w:sz w:val="28"/>
          <w:szCs w:val="28"/>
        </w:rPr>
        <w:t>一、法律</w:t>
      </w:r>
    </w:p>
    <w:p>
      <w:pPr>
        <w:rPr>
          <w:sz w:val="28"/>
          <w:szCs w:val="28"/>
        </w:rPr>
      </w:pPr>
      <w:r>
        <w:rPr>
          <w:rFonts w:hint="eastAsia"/>
          <w:sz w:val="28"/>
          <w:szCs w:val="28"/>
        </w:rPr>
        <w:t>1.《中华人民共和国渔业法》，2013年12月28日修订；</w:t>
      </w:r>
    </w:p>
    <w:p>
      <w:pPr>
        <w:rPr>
          <w:sz w:val="28"/>
          <w:szCs w:val="28"/>
        </w:rPr>
      </w:pPr>
      <w:r>
        <w:rPr>
          <w:rFonts w:hint="eastAsia"/>
          <w:sz w:val="28"/>
          <w:szCs w:val="28"/>
        </w:rPr>
        <w:t>2.《中华人民共和国土地管理法》，2004年8月28日修订；</w:t>
      </w:r>
    </w:p>
    <w:p>
      <w:pPr>
        <w:rPr>
          <w:sz w:val="28"/>
          <w:szCs w:val="28"/>
        </w:rPr>
      </w:pPr>
      <w:r>
        <w:rPr>
          <w:rFonts w:hint="eastAsia"/>
          <w:sz w:val="28"/>
          <w:szCs w:val="28"/>
        </w:rPr>
        <w:t>3.《中华人民共和国水法》，2016年7月2日修订；</w:t>
      </w:r>
    </w:p>
    <w:p>
      <w:pPr>
        <w:rPr>
          <w:sz w:val="28"/>
          <w:szCs w:val="28"/>
        </w:rPr>
      </w:pPr>
      <w:r>
        <w:rPr>
          <w:rFonts w:hint="eastAsia"/>
          <w:sz w:val="28"/>
          <w:szCs w:val="28"/>
        </w:rPr>
        <w:t>4.《中华人民共和国水污染防治法》，2008年6月1日实施；</w:t>
      </w:r>
    </w:p>
    <w:p>
      <w:pPr>
        <w:rPr>
          <w:sz w:val="28"/>
          <w:szCs w:val="28"/>
        </w:rPr>
      </w:pPr>
      <w:r>
        <w:rPr>
          <w:rFonts w:hint="eastAsia"/>
          <w:sz w:val="28"/>
          <w:szCs w:val="28"/>
        </w:rPr>
        <w:t>5.《中华人民共和国环境保护法》，2015年1月1日实施；</w:t>
      </w:r>
    </w:p>
    <w:p>
      <w:pPr>
        <w:rPr>
          <w:sz w:val="28"/>
          <w:szCs w:val="28"/>
        </w:rPr>
      </w:pPr>
      <w:r>
        <w:rPr>
          <w:rFonts w:hint="eastAsia"/>
          <w:sz w:val="28"/>
          <w:szCs w:val="28"/>
        </w:rPr>
        <w:t>6.《中华人民共和国野生动物保护法》，2017年1月1日实施；</w:t>
      </w:r>
    </w:p>
    <w:p>
      <w:pPr>
        <w:rPr>
          <w:sz w:val="28"/>
          <w:szCs w:val="28"/>
        </w:rPr>
      </w:pPr>
      <w:r>
        <w:rPr>
          <w:rFonts w:hint="eastAsia"/>
          <w:sz w:val="28"/>
          <w:szCs w:val="28"/>
        </w:rPr>
        <w:t>7.《中华人民共和国农产品质量安全法》，2006年11月1日实施；</w:t>
      </w:r>
    </w:p>
    <w:p>
      <w:pPr>
        <w:rPr>
          <w:sz w:val="28"/>
          <w:szCs w:val="28"/>
        </w:rPr>
      </w:pPr>
      <w:r>
        <w:rPr>
          <w:rFonts w:hint="eastAsia"/>
          <w:sz w:val="28"/>
          <w:szCs w:val="28"/>
        </w:rPr>
        <w:t>8.《中华人民共和国食品安全法》，2015年10月1日实施；</w:t>
      </w:r>
    </w:p>
    <w:p>
      <w:pPr>
        <w:rPr>
          <w:sz w:val="28"/>
          <w:szCs w:val="28"/>
        </w:rPr>
      </w:pPr>
      <w:r>
        <w:rPr>
          <w:rFonts w:hint="eastAsia"/>
          <w:sz w:val="28"/>
          <w:szCs w:val="28"/>
        </w:rPr>
        <w:t>9.《中华人民共和国动物防疫法》，2008年1月1日实施；</w:t>
      </w:r>
    </w:p>
    <w:p>
      <w:pPr>
        <w:rPr>
          <w:sz w:val="28"/>
          <w:szCs w:val="28"/>
        </w:rPr>
      </w:pPr>
      <w:r>
        <w:rPr>
          <w:rFonts w:hint="eastAsia"/>
          <w:sz w:val="28"/>
          <w:szCs w:val="28"/>
        </w:rPr>
        <w:t>10.《中华人民共和国环境影响评价法》，2016年9月1日实施。</w:t>
      </w:r>
    </w:p>
    <w:p>
      <w:pPr>
        <w:rPr>
          <w:sz w:val="28"/>
          <w:szCs w:val="28"/>
        </w:rPr>
      </w:pPr>
      <w:r>
        <w:rPr>
          <w:rFonts w:hint="eastAsia"/>
          <w:sz w:val="28"/>
          <w:szCs w:val="28"/>
        </w:rPr>
        <w:t>二、行政法规</w:t>
      </w:r>
    </w:p>
    <w:p>
      <w:pPr>
        <w:rPr>
          <w:sz w:val="28"/>
          <w:szCs w:val="28"/>
        </w:rPr>
      </w:pPr>
      <w:r>
        <w:rPr>
          <w:rFonts w:hint="eastAsia"/>
          <w:sz w:val="28"/>
          <w:szCs w:val="28"/>
        </w:rPr>
        <w:t>1.《中华人民共和国土地管理法实施条例》，2014年7月29日修订；</w:t>
      </w:r>
    </w:p>
    <w:p>
      <w:pPr>
        <w:rPr>
          <w:sz w:val="28"/>
          <w:szCs w:val="28"/>
        </w:rPr>
      </w:pPr>
      <w:r>
        <w:rPr>
          <w:rFonts w:hint="eastAsia"/>
          <w:sz w:val="28"/>
          <w:szCs w:val="28"/>
        </w:rPr>
        <w:t>2.《中华人民共和国水产资源繁殖保护条例》，1979年2月10日实施；</w:t>
      </w:r>
    </w:p>
    <w:p>
      <w:pPr>
        <w:rPr>
          <w:sz w:val="28"/>
          <w:szCs w:val="28"/>
        </w:rPr>
      </w:pPr>
      <w:r>
        <w:rPr>
          <w:rFonts w:hint="eastAsia"/>
          <w:sz w:val="28"/>
          <w:szCs w:val="28"/>
        </w:rPr>
        <w:t>3.《中华人民共和国自然保护区条例》，2017年10月7日修订；</w:t>
      </w:r>
    </w:p>
    <w:p>
      <w:pPr>
        <w:rPr>
          <w:sz w:val="28"/>
          <w:szCs w:val="28"/>
        </w:rPr>
      </w:pPr>
      <w:r>
        <w:rPr>
          <w:rFonts w:hint="eastAsia"/>
          <w:sz w:val="28"/>
          <w:szCs w:val="28"/>
        </w:rPr>
        <w:t>4.《基本农田保护条例》，1999年1月1日实施。</w:t>
      </w:r>
    </w:p>
    <w:p>
      <w:pPr>
        <w:rPr>
          <w:sz w:val="28"/>
          <w:szCs w:val="28"/>
        </w:rPr>
      </w:pPr>
      <w:r>
        <w:rPr>
          <w:rFonts w:hint="eastAsia"/>
          <w:sz w:val="28"/>
          <w:szCs w:val="28"/>
        </w:rPr>
        <w:t>三、地方法规</w:t>
      </w:r>
    </w:p>
    <w:p>
      <w:pPr>
        <w:rPr>
          <w:sz w:val="28"/>
          <w:szCs w:val="28"/>
        </w:rPr>
      </w:pPr>
      <w:r>
        <w:rPr>
          <w:rFonts w:hint="eastAsia"/>
          <w:sz w:val="28"/>
          <w:szCs w:val="28"/>
        </w:rPr>
        <w:t>1.《陕西省实施〈中华人民共和国渔业法〉办法》，1992年5月16日实施；</w:t>
      </w:r>
    </w:p>
    <w:p>
      <w:pPr>
        <w:rPr>
          <w:sz w:val="28"/>
          <w:szCs w:val="28"/>
        </w:rPr>
      </w:pPr>
      <w:r>
        <w:rPr>
          <w:rFonts w:hint="eastAsia"/>
          <w:sz w:val="28"/>
          <w:szCs w:val="28"/>
        </w:rPr>
        <w:t>2.《陕西省实施〈中华人民共和国自然保护区条例〉办法》，2001年7月13日实施；</w:t>
      </w:r>
    </w:p>
    <w:p>
      <w:pPr>
        <w:rPr>
          <w:sz w:val="28"/>
          <w:szCs w:val="28"/>
        </w:rPr>
      </w:pPr>
      <w:r>
        <w:rPr>
          <w:rFonts w:hint="eastAsia"/>
          <w:sz w:val="28"/>
          <w:szCs w:val="28"/>
        </w:rPr>
        <w:t>3.《陕西省实施〈中华人民共和国土地管理法〉办法》，2000年1月1日实施；</w:t>
      </w:r>
    </w:p>
    <w:p>
      <w:pPr>
        <w:rPr>
          <w:sz w:val="28"/>
          <w:szCs w:val="28"/>
        </w:rPr>
      </w:pPr>
      <w:r>
        <w:rPr>
          <w:rFonts w:hint="eastAsia"/>
          <w:sz w:val="28"/>
          <w:szCs w:val="28"/>
        </w:rPr>
        <w:t>4.《陕西省实施〈中华人民共和国水法〉办法》，2014年11月27日实施；</w:t>
      </w:r>
    </w:p>
    <w:p>
      <w:pPr>
        <w:rPr>
          <w:sz w:val="28"/>
          <w:szCs w:val="28"/>
        </w:rPr>
      </w:pPr>
      <w:r>
        <w:rPr>
          <w:rFonts w:hint="eastAsia"/>
          <w:sz w:val="28"/>
          <w:szCs w:val="28"/>
        </w:rPr>
        <w:t>5.《陕西省城市引用水水源保护区环境保护条例》，2002年3月28日实施；</w:t>
      </w:r>
    </w:p>
    <w:p>
      <w:pPr>
        <w:rPr>
          <w:sz w:val="28"/>
          <w:szCs w:val="28"/>
        </w:rPr>
      </w:pPr>
      <w:r>
        <w:rPr>
          <w:rFonts w:hint="eastAsia"/>
          <w:sz w:val="28"/>
          <w:szCs w:val="28"/>
        </w:rPr>
        <w:t>6.《陕西省水资源管理条例》，1991年1月29日施行。</w:t>
      </w:r>
    </w:p>
    <w:p>
      <w:pPr>
        <w:rPr>
          <w:sz w:val="28"/>
          <w:szCs w:val="28"/>
        </w:rPr>
      </w:pPr>
      <w:r>
        <w:rPr>
          <w:rFonts w:hint="eastAsia"/>
          <w:sz w:val="28"/>
          <w:szCs w:val="28"/>
        </w:rPr>
        <w:t>四、部门规章</w:t>
      </w:r>
    </w:p>
    <w:p>
      <w:pPr>
        <w:rPr>
          <w:sz w:val="28"/>
          <w:szCs w:val="28"/>
        </w:rPr>
      </w:pPr>
      <w:r>
        <w:rPr>
          <w:rFonts w:hint="eastAsia"/>
          <w:sz w:val="28"/>
          <w:szCs w:val="28"/>
        </w:rPr>
        <w:t>1.《中华人民共和国水生野生动物保护实施条例》，2013年12月7日修订；</w:t>
      </w:r>
    </w:p>
    <w:p>
      <w:pPr>
        <w:rPr>
          <w:sz w:val="28"/>
          <w:szCs w:val="28"/>
        </w:rPr>
      </w:pPr>
      <w:r>
        <w:rPr>
          <w:rFonts w:hint="eastAsia"/>
          <w:sz w:val="28"/>
          <w:szCs w:val="28"/>
        </w:rPr>
        <w:t>2.《中华人民共和国水生动植物自然保护区管理办法》，2013年12月31日修订；</w:t>
      </w:r>
    </w:p>
    <w:p>
      <w:pPr>
        <w:rPr>
          <w:sz w:val="28"/>
          <w:szCs w:val="28"/>
        </w:rPr>
      </w:pPr>
      <w:r>
        <w:rPr>
          <w:rFonts w:hint="eastAsia"/>
          <w:sz w:val="28"/>
          <w:szCs w:val="28"/>
        </w:rPr>
        <w:t>3.《水产养殖质量安全管理规定》，2003年9月1日实施；</w:t>
      </w:r>
    </w:p>
    <w:p>
      <w:pPr>
        <w:rPr>
          <w:sz w:val="28"/>
          <w:szCs w:val="28"/>
        </w:rPr>
      </w:pPr>
      <w:r>
        <w:rPr>
          <w:rFonts w:hint="eastAsia"/>
          <w:sz w:val="28"/>
          <w:szCs w:val="28"/>
        </w:rPr>
        <w:t>4.《中华人民共和国渔业法实施条例》，1987年10月14日实施；</w:t>
      </w:r>
    </w:p>
    <w:p>
      <w:pPr>
        <w:rPr>
          <w:sz w:val="28"/>
          <w:szCs w:val="28"/>
        </w:rPr>
      </w:pPr>
      <w:r>
        <w:rPr>
          <w:rFonts w:hint="eastAsia"/>
          <w:sz w:val="28"/>
          <w:szCs w:val="28"/>
        </w:rPr>
        <w:t>5.《水产种质资源保护区管理暂行办法》，2011年3月1日实施；</w:t>
      </w:r>
    </w:p>
    <w:p>
      <w:pPr>
        <w:rPr>
          <w:sz w:val="28"/>
          <w:szCs w:val="28"/>
        </w:rPr>
      </w:pPr>
      <w:r>
        <w:rPr>
          <w:rFonts w:hint="eastAsia"/>
          <w:sz w:val="28"/>
          <w:szCs w:val="28"/>
        </w:rPr>
        <w:t>6.《水生生物增殖放流管理规定》，2009年5月1日实施；</w:t>
      </w:r>
    </w:p>
    <w:p>
      <w:pPr>
        <w:rPr>
          <w:sz w:val="28"/>
          <w:szCs w:val="28"/>
        </w:rPr>
      </w:pPr>
      <w:r>
        <w:rPr>
          <w:rFonts w:hint="eastAsia"/>
          <w:sz w:val="28"/>
          <w:szCs w:val="28"/>
        </w:rPr>
        <w:t>7.《水产苗种管理办法》，2005年4月1日实施。</w:t>
      </w:r>
    </w:p>
    <w:p>
      <w:pPr>
        <w:rPr>
          <w:sz w:val="28"/>
          <w:szCs w:val="28"/>
        </w:rPr>
      </w:pPr>
      <w:r>
        <w:rPr>
          <w:rFonts w:hint="eastAsia"/>
          <w:sz w:val="28"/>
          <w:szCs w:val="28"/>
        </w:rPr>
        <w:t>五、规范性文件</w:t>
      </w:r>
    </w:p>
    <w:p>
      <w:pPr>
        <w:rPr>
          <w:sz w:val="28"/>
          <w:szCs w:val="28"/>
        </w:rPr>
      </w:pPr>
      <w:r>
        <w:rPr>
          <w:rFonts w:hint="eastAsia"/>
          <w:sz w:val="28"/>
          <w:szCs w:val="28"/>
        </w:rPr>
        <w:t>1.《全国生态环境保护纲要》（国发〔2000〕38号）；</w:t>
      </w:r>
    </w:p>
    <w:p>
      <w:pPr>
        <w:rPr>
          <w:sz w:val="28"/>
          <w:szCs w:val="28"/>
        </w:rPr>
      </w:pPr>
      <w:r>
        <w:rPr>
          <w:rFonts w:hint="eastAsia"/>
          <w:sz w:val="28"/>
          <w:szCs w:val="28"/>
        </w:rPr>
        <w:t>2.《全国生态保护“十三五”规划纲要》（环生态〔2016〕151号）；</w:t>
      </w:r>
    </w:p>
    <w:p>
      <w:pPr>
        <w:rPr>
          <w:sz w:val="28"/>
          <w:szCs w:val="28"/>
        </w:rPr>
      </w:pPr>
      <w:r>
        <w:rPr>
          <w:rFonts w:hint="eastAsia"/>
          <w:sz w:val="28"/>
          <w:szCs w:val="28"/>
        </w:rPr>
        <w:t>3.《中国水生生物资源养护行动纲要》（国发〔2006〕9号）；</w:t>
      </w:r>
    </w:p>
    <w:p>
      <w:pPr>
        <w:rPr>
          <w:sz w:val="28"/>
          <w:szCs w:val="28"/>
        </w:rPr>
      </w:pPr>
      <w:r>
        <w:rPr>
          <w:rFonts w:hint="eastAsia"/>
          <w:sz w:val="28"/>
          <w:szCs w:val="28"/>
        </w:rPr>
        <w:t>4.《中共中央国务院关于深入推进农业供给侧结构性改革加快培育农业农村发展新动能的若干意见》（中发〔2017〕1号）；</w:t>
      </w:r>
    </w:p>
    <w:p>
      <w:pPr>
        <w:rPr>
          <w:sz w:val="28"/>
          <w:szCs w:val="28"/>
        </w:rPr>
      </w:pPr>
      <w:r>
        <w:rPr>
          <w:rFonts w:hint="eastAsia"/>
          <w:sz w:val="28"/>
          <w:szCs w:val="28"/>
        </w:rPr>
        <w:t>5.《中共中央办公厅 国务院办公厅印发〈关于创新体制机制推进农业绿色发展的意见〉》（2017）；</w:t>
      </w:r>
    </w:p>
    <w:p>
      <w:pPr>
        <w:rPr>
          <w:sz w:val="28"/>
          <w:szCs w:val="28"/>
        </w:rPr>
      </w:pPr>
      <w:r>
        <w:rPr>
          <w:rFonts w:hint="eastAsia"/>
          <w:sz w:val="28"/>
          <w:szCs w:val="28"/>
        </w:rPr>
        <w:t>6.《中共中央国务院关于加快推进生态文明建设的意见》（中发〔2015〕12号）；</w:t>
      </w:r>
    </w:p>
    <w:p>
      <w:pPr>
        <w:rPr>
          <w:sz w:val="28"/>
          <w:szCs w:val="28"/>
        </w:rPr>
      </w:pPr>
      <w:r>
        <w:rPr>
          <w:rFonts w:hint="eastAsia"/>
          <w:sz w:val="28"/>
          <w:szCs w:val="28"/>
        </w:rPr>
        <w:t>7.《国务院关于印发水污染防治行动计划的通知》（国发〔2015〕17号）；</w:t>
      </w:r>
    </w:p>
    <w:p>
      <w:pPr>
        <w:rPr>
          <w:sz w:val="28"/>
          <w:szCs w:val="28"/>
        </w:rPr>
      </w:pPr>
      <w:r>
        <w:rPr>
          <w:rFonts w:hint="eastAsia"/>
          <w:sz w:val="28"/>
          <w:szCs w:val="28"/>
        </w:rPr>
        <w:t>8.《农业部关于加快推进渔业转方式调结构的指导意见》（农渔发〔2016〕1号）；</w:t>
      </w:r>
    </w:p>
    <w:p>
      <w:pPr>
        <w:rPr>
          <w:sz w:val="28"/>
          <w:szCs w:val="28"/>
        </w:rPr>
      </w:pPr>
      <w:r>
        <w:rPr>
          <w:rFonts w:hint="eastAsia"/>
          <w:sz w:val="28"/>
          <w:szCs w:val="28"/>
        </w:rPr>
        <w:t>9.《农业部关于印发〈养殖水域滩涂规划编制工作规范〉和〈养殖水域滩涂规划编制大纲〉的通知》（农渔发〔2016〕39号）；</w:t>
      </w:r>
    </w:p>
    <w:p>
      <w:pPr>
        <w:rPr>
          <w:sz w:val="28"/>
          <w:szCs w:val="28"/>
        </w:rPr>
      </w:pPr>
      <w:r>
        <w:rPr>
          <w:rFonts w:hint="eastAsia"/>
          <w:sz w:val="28"/>
          <w:szCs w:val="28"/>
        </w:rPr>
        <w:t>10.《农业部关于稳定水域滩涂养殖使用权推进水域滩涂养殖发证登记工作的意见》（农渔发〔2010〕25号）；</w:t>
      </w:r>
    </w:p>
    <w:p>
      <w:pPr>
        <w:rPr>
          <w:sz w:val="28"/>
          <w:szCs w:val="28"/>
        </w:rPr>
      </w:pPr>
      <w:r>
        <w:rPr>
          <w:rFonts w:hint="eastAsia"/>
          <w:sz w:val="28"/>
          <w:szCs w:val="28"/>
        </w:rPr>
        <w:t>11. 《国土资源部 农业部关于进一步支持设施农业健康发展的通知》（国土资发〔2014〕127号）；</w:t>
      </w:r>
    </w:p>
    <w:p>
      <w:pPr>
        <w:rPr>
          <w:sz w:val="28"/>
          <w:szCs w:val="28"/>
        </w:rPr>
      </w:pPr>
      <w:r>
        <w:rPr>
          <w:rFonts w:hint="eastAsia"/>
          <w:sz w:val="28"/>
          <w:szCs w:val="28"/>
        </w:rPr>
        <w:t>12.《全国渔业发展第十三个五年规划》；</w:t>
      </w:r>
    </w:p>
    <w:p>
      <w:pPr>
        <w:rPr>
          <w:sz w:val="28"/>
          <w:szCs w:val="28"/>
        </w:rPr>
      </w:pPr>
      <w:r>
        <w:rPr>
          <w:rFonts w:hint="eastAsia"/>
          <w:sz w:val="28"/>
          <w:szCs w:val="28"/>
        </w:rPr>
        <w:t>13.《“十三五”渔业科技发展规划》；</w:t>
      </w:r>
    </w:p>
    <w:p>
      <w:pPr>
        <w:rPr>
          <w:sz w:val="28"/>
          <w:szCs w:val="28"/>
        </w:rPr>
      </w:pPr>
      <w:r>
        <w:rPr>
          <w:rFonts w:hint="eastAsia"/>
          <w:sz w:val="28"/>
          <w:szCs w:val="28"/>
        </w:rPr>
        <w:t>14.《全国水产技术推广工作“十三五”规划》；</w:t>
      </w:r>
    </w:p>
    <w:p>
      <w:pPr>
        <w:rPr>
          <w:sz w:val="28"/>
          <w:szCs w:val="28"/>
        </w:rPr>
      </w:pPr>
      <w:r>
        <w:rPr>
          <w:rFonts w:hint="eastAsia"/>
          <w:sz w:val="28"/>
          <w:szCs w:val="28"/>
        </w:rPr>
        <w:t>15.《陕西省国民经济和社会发展第十三个五年规划纲要》；</w:t>
      </w:r>
    </w:p>
    <w:p>
      <w:pPr>
        <w:rPr>
          <w:sz w:val="28"/>
          <w:szCs w:val="28"/>
        </w:rPr>
      </w:pPr>
      <w:r>
        <w:rPr>
          <w:rFonts w:hint="eastAsia"/>
          <w:sz w:val="28"/>
          <w:szCs w:val="28"/>
        </w:rPr>
        <w:t>16.《陕西省“十三五”现代农业发展规划》；</w:t>
      </w:r>
    </w:p>
    <w:p>
      <w:pPr>
        <w:rPr>
          <w:sz w:val="28"/>
          <w:szCs w:val="28"/>
        </w:rPr>
      </w:pPr>
      <w:r>
        <w:rPr>
          <w:rFonts w:hint="eastAsia"/>
          <w:sz w:val="28"/>
          <w:szCs w:val="28"/>
        </w:rPr>
        <w:t>17.《陕西省“十三五”渔业发展规划》；</w:t>
      </w:r>
    </w:p>
    <w:p>
      <w:pPr>
        <w:rPr>
          <w:sz w:val="28"/>
          <w:szCs w:val="28"/>
        </w:rPr>
      </w:pPr>
      <w:r>
        <w:rPr>
          <w:rFonts w:hint="eastAsia"/>
          <w:sz w:val="28"/>
          <w:szCs w:val="28"/>
        </w:rPr>
        <w:t>18.《榆林市城市总体规划（2006-2020）》；</w:t>
      </w:r>
    </w:p>
    <w:p>
      <w:pPr>
        <w:rPr>
          <w:sz w:val="28"/>
          <w:szCs w:val="28"/>
        </w:rPr>
      </w:pPr>
      <w:r>
        <w:rPr>
          <w:rFonts w:hint="eastAsia"/>
          <w:sz w:val="28"/>
          <w:szCs w:val="28"/>
        </w:rPr>
        <w:t>19.《榆林市土地利用总体规划（2011-2020年）》；</w:t>
      </w:r>
    </w:p>
    <w:p>
      <w:pPr>
        <w:rPr>
          <w:sz w:val="28"/>
          <w:szCs w:val="28"/>
        </w:rPr>
      </w:pPr>
      <w:r>
        <w:rPr>
          <w:rFonts w:hint="eastAsia"/>
          <w:sz w:val="28"/>
          <w:szCs w:val="28"/>
        </w:rPr>
        <w:t>20.《榆林市榆阳区国民经济和社会发展第十三个五年规划汇编（2016-2020）》。</w:t>
      </w:r>
    </w:p>
    <w:p>
      <w:pPr>
        <w:spacing w:beforeLines="50" w:afterLines="50"/>
        <w:outlineLvl w:val="1"/>
        <w:rPr>
          <w:b/>
          <w:sz w:val="30"/>
          <w:szCs w:val="30"/>
        </w:rPr>
      </w:pPr>
      <w:bookmarkStart w:id="6" w:name="_Toc532809848"/>
      <w:bookmarkStart w:id="7" w:name="_Toc529609943"/>
      <w:r>
        <w:rPr>
          <w:rFonts w:hint="eastAsia"/>
          <w:b/>
          <w:sz w:val="30"/>
          <w:szCs w:val="30"/>
        </w:rPr>
        <w:t>第三节 目标任务</w:t>
      </w:r>
      <w:bookmarkEnd w:id="6"/>
      <w:bookmarkEnd w:id="7"/>
    </w:p>
    <w:p>
      <w:pPr>
        <w:rPr>
          <w:b/>
          <w:sz w:val="28"/>
          <w:szCs w:val="28"/>
        </w:rPr>
      </w:pPr>
      <w:r>
        <w:rPr>
          <w:rFonts w:hint="eastAsia"/>
          <w:b/>
          <w:sz w:val="28"/>
          <w:szCs w:val="28"/>
        </w:rPr>
        <w:t>一、规划期限</w:t>
      </w:r>
    </w:p>
    <w:p>
      <w:pPr>
        <w:ind w:firstLine="560" w:firstLineChars="200"/>
        <w:rPr>
          <w:sz w:val="28"/>
          <w:szCs w:val="28"/>
        </w:rPr>
      </w:pPr>
      <w:r>
        <w:rPr>
          <w:rFonts w:hint="eastAsia"/>
          <w:sz w:val="28"/>
          <w:szCs w:val="28"/>
        </w:rPr>
        <w:t>本规划期自2017年至2030 年，基准年2017年。</w:t>
      </w:r>
    </w:p>
    <w:p>
      <w:pPr>
        <w:rPr>
          <w:b/>
          <w:sz w:val="28"/>
          <w:szCs w:val="28"/>
        </w:rPr>
      </w:pPr>
      <w:r>
        <w:rPr>
          <w:rFonts w:hint="eastAsia"/>
          <w:b/>
          <w:sz w:val="28"/>
          <w:szCs w:val="28"/>
        </w:rPr>
        <w:t>二、规划目标</w:t>
      </w:r>
    </w:p>
    <w:p>
      <w:pPr>
        <w:ind w:firstLine="560" w:firstLineChars="200"/>
        <w:rPr>
          <w:sz w:val="28"/>
          <w:szCs w:val="28"/>
        </w:rPr>
      </w:pPr>
      <w:r>
        <w:rPr>
          <w:rFonts w:hint="eastAsia"/>
          <w:sz w:val="28"/>
          <w:szCs w:val="28"/>
        </w:rPr>
        <w:t>通过对榆阳区养殖水域滩涂进行规划，厘清养殖现状，精确定位养殖区域，依法划定禁养区、限养区和养殖区，分类制定不同功能区划的管控措施，完善科学管理长效机制，达到“三区界定清晰、依法管控、措施有力”的目标。</w:t>
      </w:r>
    </w:p>
    <w:p>
      <w:pPr>
        <w:ind w:firstLine="560" w:firstLineChars="200"/>
        <w:rPr>
          <w:sz w:val="28"/>
          <w:szCs w:val="28"/>
        </w:rPr>
      </w:pPr>
      <w:r>
        <w:rPr>
          <w:rFonts w:hint="eastAsia"/>
          <w:sz w:val="28"/>
          <w:szCs w:val="28"/>
        </w:rPr>
        <w:t>到2030年，对水产养殖产业的供给侧结构性改革取得突破，生态养殖取得较大发展，实现空间规划布局合理，各类资源节约环境友好型养殖模式和技术全面推广普及，生态环境稳中趋好，基本建成与资源环境相协调、监管能力相配套、发展水平相适应的绿色生态水产养殖产业格局。</w:t>
      </w:r>
    </w:p>
    <w:p>
      <w:pPr>
        <w:rPr>
          <w:b/>
          <w:sz w:val="28"/>
          <w:szCs w:val="28"/>
        </w:rPr>
      </w:pPr>
      <w:r>
        <w:rPr>
          <w:rFonts w:hint="eastAsia"/>
          <w:b/>
          <w:sz w:val="28"/>
          <w:szCs w:val="28"/>
        </w:rPr>
        <w:t>三、重点任务</w:t>
      </w:r>
    </w:p>
    <w:p>
      <w:pPr>
        <w:rPr>
          <w:sz w:val="28"/>
          <w:szCs w:val="28"/>
        </w:rPr>
      </w:pPr>
      <w:r>
        <w:rPr>
          <w:rFonts w:hint="eastAsia"/>
          <w:sz w:val="28"/>
          <w:szCs w:val="28"/>
        </w:rPr>
        <w:t>（一）推动水产养殖产业结构转型</w:t>
      </w:r>
    </w:p>
    <w:p>
      <w:pPr>
        <w:ind w:firstLine="560" w:firstLineChars="200"/>
        <w:rPr>
          <w:sz w:val="28"/>
          <w:szCs w:val="28"/>
        </w:rPr>
      </w:pPr>
      <w:r>
        <w:rPr>
          <w:rFonts w:hint="eastAsia"/>
          <w:sz w:val="28"/>
          <w:szCs w:val="28"/>
        </w:rPr>
        <w:t>引导传统养殖池塘进行生态化改造，提升水产养殖集约化、标准化和产业化发展水平。按照“优势产品区域化、生态休闲渔业精品化、基地建设标准化”原则，把扶持水产龙头企业作为推动渔业产业化的着力点，依靠龙头企业带动，建设无公害、绿色以及销售或加工型龙头企业配套的水产养殖基地。大力发展生态渔业综合开发利用示范区。推行区域化、集约化生产，形成一县一品，一场一特，突出规模优势。充分利用好现有荒地和水资源，要在巩固“四大家鱼”等常规鱼的同时，突破黄河鲶鱼、克氏原螯虾、河蟹等特种水产品的养殖。加快推进生产方式绿色化，在水域资源承载范围内，发展生态渔业、净水渔业，合理调控饲料用量，科学投饵用药。开展养殖尾水处理设施改造和试点示范；推进规模化养殖场的养殖尾水净化处理配套设施改造，实现养殖尾水达标排放和水产养殖业绿色发展。</w:t>
      </w:r>
    </w:p>
    <w:p>
      <w:pPr>
        <w:rPr>
          <w:sz w:val="28"/>
          <w:szCs w:val="28"/>
        </w:rPr>
      </w:pPr>
      <w:r>
        <w:rPr>
          <w:rFonts w:hint="eastAsia"/>
          <w:sz w:val="28"/>
          <w:szCs w:val="28"/>
        </w:rPr>
        <w:t>（二）加强渔业生态环境保护</w:t>
      </w:r>
    </w:p>
    <w:p>
      <w:pPr>
        <w:ind w:firstLine="560" w:firstLineChars="200"/>
        <w:rPr>
          <w:sz w:val="28"/>
          <w:szCs w:val="28"/>
        </w:rPr>
      </w:pPr>
      <w:r>
        <w:rPr>
          <w:rFonts w:hint="eastAsia"/>
          <w:sz w:val="28"/>
          <w:szCs w:val="28"/>
        </w:rPr>
        <w:t>推进渔业生态环境专项整治，加大各类保护区的生态监管力度，调控滩涂的开发利用对河流生态环境的影响和危害。加强环境监测站软、硬件基础能力建设，开展养殖尾水在线监测。落实“禁渔期”制度，严格控制捕捞强度。建立健全水生野生动物保护生态补偿制度和补偿效果评估制度，提升水生野生动物保护水平。</w:t>
      </w:r>
    </w:p>
    <w:p>
      <w:pPr>
        <w:rPr>
          <w:sz w:val="28"/>
          <w:szCs w:val="28"/>
        </w:rPr>
      </w:pPr>
      <w:r>
        <w:rPr>
          <w:rFonts w:hint="eastAsia"/>
          <w:sz w:val="28"/>
          <w:szCs w:val="28"/>
        </w:rPr>
        <w:t>（三）推进渔业资源养护修复</w:t>
      </w:r>
    </w:p>
    <w:p>
      <w:pPr>
        <w:ind w:firstLine="560" w:firstLineChars="200"/>
        <w:rPr>
          <w:sz w:val="28"/>
          <w:szCs w:val="28"/>
        </w:rPr>
      </w:pPr>
      <w:r>
        <w:rPr>
          <w:rFonts w:hint="eastAsia"/>
          <w:sz w:val="28"/>
          <w:szCs w:val="28"/>
        </w:rPr>
        <w:t>按照可持续发展和生态文明建设的总体要求，切实加强增殖养护，加强各类保护区建设和管理，实施水生生物增殖放流活动，强化资源保护宣传和增殖放流后的执法监督管理和评估。全面调查水域资源分布及利用现状，根据水域生态环境、资源状况，科学评价养殖水域环境承载力，合理确定渔业资源增殖放流区，科学安排增殖放流品种和规模。在区内重点河流开展鲤鱼、鲫鱼、草鱼、鲢鱼等重要生物资源的增殖放流活动。根据水域资源状况和环境承载力，科学划定“三区”，强化禁养区、限养区管理，发挥自然保护区与水产种质资源保护区的生态功能，保护和利用天然水域渔业资源。</w:t>
      </w:r>
    </w:p>
    <w:p>
      <w:pPr>
        <w:spacing w:beforeLines="50" w:afterLines="50"/>
        <w:outlineLvl w:val="1"/>
        <w:rPr>
          <w:b/>
          <w:sz w:val="30"/>
          <w:szCs w:val="30"/>
        </w:rPr>
      </w:pPr>
      <w:bookmarkStart w:id="8" w:name="_Toc532809849"/>
      <w:bookmarkStart w:id="9" w:name="_Toc529609944"/>
      <w:r>
        <w:rPr>
          <w:rFonts w:hint="eastAsia"/>
          <w:b/>
          <w:sz w:val="30"/>
          <w:szCs w:val="30"/>
        </w:rPr>
        <w:t>第四节 基本原则</w:t>
      </w:r>
      <w:bookmarkEnd w:id="8"/>
      <w:bookmarkEnd w:id="9"/>
    </w:p>
    <w:p>
      <w:pPr>
        <w:rPr>
          <w:sz w:val="28"/>
          <w:szCs w:val="28"/>
        </w:rPr>
      </w:pPr>
      <w:r>
        <w:rPr>
          <w:rFonts w:hint="eastAsia"/>
          <w:sz w:val="28"/>
          <w:szCs w:val="28"/>
        </w:rPr>
        <w:t>一、坚持科学规划、因地制宜的原则</w:t>
      </w:r>
    </w:p>
    <w:p>
      <w:pPr>
        <w:ind w:firstLine="560" w:firstLineChars="200"/>
        <w:rPr>
          <w:sz w:val="28"/>
          <w:szCs w:val="28"/>
        </w:rPr>
      </w:pPr>
      <w:r>
        <w:rPr>
          <w:rFonts w:hint="eastAsia"/>
          <w:sz w:val="28"/>
          <w:szCs w:val="28"/>
        </w:rPr>
        <w:t>根据榆阳区水域滩涂承载力评价结果和水产养殖业发展需求，形成全区养殖水域滩涂开发利用和保护的总体思路，合理布局水产养殖生产，制定养殖水域滩涂使用管理的具体措施，科学编制规划。</w:t>
      </w:r>
    </w:p>
    <w:p>
      <w:pPr>
        <w:rPr>
          <w:sz w:val="28"/>
          <w:szCs w:val="28"/>
        </w:rPr>
      </w:pPr>
      <w:r>
        <w:rPr>
          <w:rFonts w:hint="eastAsia"/>
          <w:sz w:val="28"/>
          <w:szCs w:val="28"/>
        </w:rPr>
        <w:t>二、坚持生态优先、底线约束的原则</w:t>
      </w:r>
    </w:p>
    <w:p>
      <w:pPr>
        <w:ind w:firstLine="560" w:firstLineChars="200"/>
        <w:rPr>
          <w:sz w:val="28"/>
          <w:szCs w:val="28"/>
        </w:rPr>
      </w:pPr>
      <w:r>
        <w:rPr>
          <w:rFonts w:hint="eastAsia"/>
          <w:sz w:val="28"/>
          <w:szCs w:val="28"/>
        </w:rPr>
        <w:t>坚持走生产发展、生活富裕、生态良好的文明发展道路，科学开展水域滩涂利用评价，保护水域滩涂生态环境，明确区域经济发展方向，合理安排产业发展空间。将饮用水水源地、自然保护区等重要生态保护或公共安全“红线”和“黄线”区域作为禁止或限制养殖区，设定水产养殖发展“底线”和“红线”。</w:t>
      </w:r>
    </w:p>
    <w:p>
      <w:pPr>
        <w:rPr>
          <w:sz w:val="28"/>
          <w:szCs w:val="28"/>
        </w:rPr>
      </w:pPr>
      <w:r>
        <w:rPr>
          <w:rFonts w:hint="eastAsia"/>
          <w:sz w:val="28"/>
          <w:szCs w:val="28"/>
        </w:rPr>
        <w:t>三、坚持合理布局、转调结合的原则</w:t>
      </w:r>
    </w:p>
    <w:p>
      <w:pPr>
        <w:ind w:firstLine="560" w:firstLineChars="200"/>
        <w:rPr>
          <w:sz w:val="28"/>
          <w:szCs w:val="28"/>
        </w:rPr>
      </w:pPr>
      <w:r>
        <w:rPr>
          <w:rFonts w:hint="eastAsia"/>
          <w:sz w:val="28"/>
          <w:szCs w:val="28"/>
        </w:rPr>
        <w:t>要稳定池塘养殖，调减库坝网箱围栏养殖，发展生态循环综合养殖，支持设施养殖向工厂化循环水方向发展，实现养殖水域滩涂的整体规划、有序利用、协调发展。</w:t>
      </w:r>
    </w:p>
    <w:p>
      <w:pPr>
        <w:rPr>
          <w:sz w:val="28"/>
          <w:szCs w:val="28"/>
        </w:rPr>
      </w:pPr>
      <w:r>
        <w:rPr>
          <w:rFonts w:hint="eastAsia"/>
          <w:sz w:val="28"/>
          <w:szCs w:val="28"/>
        </w:rPr>
        <w:t>四、坚持总体协调、横向衔接的原则</w:t>
      </w:r>
    </w:p>
    <w:p>
      <w:pPr>
        <w:ind w:firstLine="560" w:firstLineChars="200"/>
        <w:rPr>
          <w:sz w:val="28"/>
          <w:szCs w:val="28"/>
        </w:rPr>
      </w:pPr>
      <w:r>
        <w:rPr>
          <w:rFonts w:hint="eastAsia"/>
          <w:sz w:val="28"/>
          <w:szCs w:val="28"/>
        </w:rPr>
        <w:t>在全区整体空间布局框架下，规划编制与本行政区域的《土地利用总体规划》相协调，同时注意与本地区城市、交通、旅游、环保等其他相关专项规划相衔接，避免交叉和矛盾，促进区域经济协调发展。</w:t>
      </w:r>
    </w:p>
    <w:p>
      <w:pPr>
        <w:spacing w:beforeLines="50" w:afterLines="50"/>
        <w:outlineLvl w:val="1"/>
        <w:rPr>
          <w:b/>
          <w:sz w:val="30"/>
          <w:szCs w:val="30"/>
        </w:rPr>
      </w:pPr>
      <w:bookmarkStart w:id="10" w:name="_Toc532809850"/>
      <w:bookmarkStart w:id="11" w:name="_Toc529609945"/>
      <w:r>
        <w:rPr>
          <w:rFonts w:hint="eastAsia"/>
          <w:b/>
          <w:sz w:val="30"/>
          <w:szCs w:val="30"/>
        </w:rPr>
        <w:t>第五节 规划范围</w:t>
      </w:r>
      <w:bookmarkEnd w:id="10"/>
      <w:bookmarkEnd w:id="11"/>
    </w:p>
    <w:p>
      <w:pPr>
        <w:ind w:firstLine="560" w:firstLineChars="200"/>
        <w:rPr>
          <w:sz w:val="28"/>
          <w:szCs w:val="28"/>
        </w:rPr>
      </w:pPr>
      <w:r>
        <w:rPr>
          <w:rFonts w:hint="eastAsia"/>
          <w:sz w:val="28"/>
          <w:szCs w:val="28"/>
        </w:rPr>
        <w:t>榆阳区行政区域范围内所有水域滩涂和宜渔稻田。</w:t>
      </w:r>
    </w:p>
    <w:p>
      <w:pPr>
        <w:rPr>
          <w:sz w:val="28"/>
          <w:szCs w:val="28"/>
        </w:rPr>
        <w:sectPr>
          <w:footerReference r:id="rId4" w:type="default"/>
          <w:pgSz w:w="11906" w:h="16838"/>
          <w:pgMar w:top="1440" w:right="1800" w:bottom="1440" w:left="1800" w:header="851" w:footer="992" w:gutter="0"/>
          <w:pgNumType w:start="1"/>
          <w:cols w:space="720" w:num="1"/>
          <w:docGrid w:type="lines" w:linePitch="312" w:charSpace="0"/>
        </w:sectPr>
      </w:pPr>
    </w:p>
    <w:p>
      <w:pPr>
        <w:spacing w:beforeLines="100" w:afterLines="100"/>
        <w:jc w:val="center"/>
        <w:outlineLvl w:val="0"/>
        <w:rPr>
          <w:rFonts w:ascii="黑体" w:eastAsia="黑体"/>
          <w:sz w:val="32"/>
          <w:szCs w:val="32"/>
        </w:rPr>
      </w:pPr>
      <w:bookmarkStart w:id="12" w:name="_Toc529609946"/>
      <w:bookmarkStart w:id="13" w:name="_Toc532809851"/>
      <w:r>
        <w:rPr>
          <w:rFonts w:hint="eastAsia" w:ascii="黑体" w:eastAsia="黑体"/>
          <w:sz w:val="32"/>
          <w:szCs w:val="32"/>
        </w:rPr>
        <w:t>第二章  养殖水域滩涂利用评价</w:t>
      </w:r>
      <w:bookmarkEnd w:id="12"/>
      <w:bookmarkEnd w:id="13"/>
    </w:p>
    <w:p>
      <w:pPr>
        <w:spacing w:beforeLines="50" w:afterLines="50"/>
        <w:outlineLvl w:val="1"/>
        <w:rPr>
          <w:b/>
          <w:sz w:val="30"/>
          <w:szCs w:val="30"/>
        </w:rPr>
      </w:pPr>
      <w:bookmarkStart w:id="14" w:name="_Toc529609947"/>
      <w:bookmarkStart w:id="15" w:name="_Toc532809852"/>
      <w:r>
        <w:rPr>
          <w:rFonts w:hint="eastAsia"/>
          <w:b/>
          <w:sz w:val="30"/>
          <w:szCs w:val="30"/>
        </w:rPr>
        <w:t>第六节 水域滩涂承载力分析</w:t>
      </w:r>
      <w:bookmarkEnd w:id="14"/>
      <w:bookmarkEnd w:id="15"/>
    </w:p>
    <w:p>
      <w:pPr>
        <w:outlineLvl w:val="2"/>
        <w:rPr>
          <w:b/>
          <w:sz w:val="28"/>
          <w:szCs w:val="28"/>
        </w:rPr>
      </w:pPr>
      <w:bookmarkStart w:id="16" w:name="_Toc529609948"/>
      <w:bookmarkStart w:id="17" w:name="_Toc532809853"/>
      <w:r>
        <w:rPr>
          <w:rFonts w:hint="eastAsia"/>
          <w:b/>
          <w:sz w:val="28"/>
          <w:szCs w:val="28"/>
        </w:rPr>
        <w:t>第一条 水域滩涂资源状况</w:t>
      </w:r>
      <w:bookmarkEnd w:id="16"/>
      <w:bookmarkEnd w:id="17"/>
    </w:p>
    <w:p>
      <w:pPr>
        <w:rPr>
          <w:sz w:val="28"/>
          <w:szCs w:val="28"/>
        </w:rPr>
      </w:pPr>
      <w:r>
        <w:rPr>
          <w:rFonts w:hint="eastAsia"/>
          <w:sz w:val="28"/>
          <w:szCs w:val="28"/>
        </w:rPr>
        <w:t>一、地理位置</w:t>
      </w:r>
    </w:p>
    <w:p>
      <w:pPr>
        <w:ind w:firstLine="560" w:firstLineChars="200"/>
        <w:rPr>
          <w:sz w:val="28"/>
          <w:szCs w:val="28"/>
        </w:rPr>
      </w:pPr>
      <w:r>
        <w:rPr>
          <w:rFonts w:hint="eastAsia"/>
          <w:sz w:val="28"/>
          <w:szCs w:val="28"/>
        </w:rPr>
        <w:t>榆阳区位于陕西省北部，无定河中游，毛乌素沙漠南缘，地理坐标在东经108°58＇～110°24′和北纬37°49′～38°58′之间。区境呈不规则平行四方形，最北端为小壕兔乡公合补兔村，最西端为红石桥乡沙漩湾村，最东端为大河塔镇芦家铺村，最南端为镇川镇八塌湾村。全境东西长128㎞，南北宽124㎞，总面积7053㎞</w:t>
      </w:r>
      <w:r>
        <w:rPr>
          <w:rFonts w:hint="eastAsia"/>
          <w:sz w:val="28"/>
          <w:szCs w:val="28"/>
          <w:vertAlign w:val="superscript"/>
        </w:rPr>
        <w:t>2</w:t>
      </w:r>
      <w:r>
        <w:rPr>
          <w:rFonts w:hint="eastAsia"/>
          <w:sz w:val="28"/>
          <w:szCs w:val="28"/>
        </w:rPr>
        <w:t>。区境东北与神木县毗邻，西北与内蒙古乌审旗接壤，东南与佳县、米脂县交结，西南与横山县相连。</w:t>
      </w:r>
    </w:p>
    <w:p>
      <w:pPr>
        <w:rPr>
          <w:sz w:val="28"/>
          <w:szCs w:val="28"/>
        </w:rPr>
      </w:pPr>
      <w:r>
        <w:rPr>
          <w:rFonts w:hint="eastAsia"/>
          <w:sz w:val="28"/>
          <w:szCs w:val="28"/>
        </w:rPr>
        <w:t>二、地质地貌</w:t>
      </w:r>
    </w:p>
    <w:p>
      <w:pPr>
        <w:ind w:firstLine="560" w:firstLineChars="200"/>
        <w:rPr>
          <w:sz w:val="28"/>
          <w:szCs w:val="28"/>
        </w:rPr>
      </w:pPr>
      <w:r>
        <w:rPr>
          <w:rFonts w:hint="eastAsia"/>
          <w:sz w:val="28"/>
          <w:szCs w:val="28"/>
        </w:rPr>
        <w:t>榆阳区大地构造单元属鄂尔多斯台向斜陕北台凹东翼地区，地质活动相对稳定，岩层构造简单，地壳无大型褶皱和断裂。岩层大致以2～5°倾角微向西倾斜，形成单斜构造。大部分地表被新生界第四系黄土层覆盖。在较深河谷有裸露基岩，以三叠系地层为主。</w:t>
      </w:r>
    </w:p>
    <w:p>
      <w:pPr>
        <w:ind w:firstLine="560" w:firstLineChars="200"/>
        <w:rPr>
          <w:sz w:val="28"/>
          <w:szCs w:val="28"/>
        </w:rPr>
      </w:pPr>
      <w:r>
        <w:rPr>
          <w:rFonts w:hint="eastAsia"/>
          <w:sz w:val="28"/>
          <w:szCs w:val="28"/>
        </w:rPr>
        <w:t>榆阳区地处毛乌素沙漠东南缘与陕北黄土高原北缘的交接地带。境内西北部为沙漠草滩地带，地势较平坦，沙丘、草滩、海子（小湖泊）交错分布，形成风沙滩地地貌，占全区总面积的60.5％。东南部为黄土高原丘陵沟壑区，梁峁起伏，沟壑纵横，水土流失严重，形成支离破碎地貌，占全区总面积的35.6％。榆溪河贯穿境中部南北，在境南鱼河镇汇入无定河，形成较宽河川阶地，约占全区总面积的3.9％。境内地势总体东北高，中部、南部低，最高海拔1413米（麻黄梁乡谢家梁），最低海拔870米（镇川镇红柳滩村西无定河出境处），相对高差543米。</w:t>
      </w:r>
    </w:p>
    <w:p>
      <w:pPr>
        <w:rPr>
          <w:sz w:val="28"/>
          <w:szCs w:val="28"/>
        </w:rPr>
      </w:pPr>
      <w:r>
        <w:rPr>
          <w:rFonts w:hint="eastAsia"/>
          <w:sz w:val="28"/>
          <w:szCs w:val="28"/>
        </w:rPr>
        <w:t>三、类型范围</w:t>
      </w:r>
    </w:p>
    <w:p>
      <w:pPr>
        <w:ind w:firstLine="560" w:firstLineChars="200"/>
        <w:rPr>
          <w:sz w:val="28"/>
          <w:szCs w:val="28"/>
        </w:rPr>
      </w:pPr>
      <w:r>
        <w:rPr>
          <w:rFonts w:hint="eastAsia"/>
          <w:sz w:val="28"/>
          <w:szCs w:val="28"/>
        </w:rPr>
        <w:t>榆阳区渔业水域资源主要有河流、湖泊、水库、池塘等。</w:t>
      </w:r>
    </w:p>
    <w:p>
      <w:pPr>
        <w:ind w:firstLine="560" w:firstLineChars="200"/>
        <w:rPr>
          <w:sz w:val="28"/>
          <w:szCs w:val="28"/>
        </w:rPr>
      </w:pPr>
      <w:r>
        <w:rPr>
          <w:rFonts w:hint="eastAsia"/>
          <w:sz w:val="28"/>
          <w:szCs w:val="28"/>
        </w:rPr>
        <w:t>榆阳区境内河流属黄河水系。境北、西及东南部为无定河流域，面积5904平方公里，占全市面积的86.4%。东北小部分（麻黄梁、大河塌、安崖和刘千河乡局部）为秃尾河、佳芦河流域，面积分别为720和429平方公里，分别占全市面积的9.1%、4.5%。境内河道纵横，有大小河流837条，其中常年流水河570条，季节性流水支沟261条，流域面积10平方公里以上的河道53条，100平方公里以上的河流23条。流域地形复杂，沙漠滩地区河流水量较大，流量稳定，河道比降缓，洪水小；黄土丘陵沟壑区沟谷河道狭窄，河床比降大，河流水量随季节变化，多呈间歇性溪流，雨季流量大，且含泥沙量高，河流洪、枯流量差值极大，如峁沟河，历史最大洪流量达1000立方米/秒，而枯水季节流量为0.3立方米/秒。最大的河是过境无定河，其次是境内的榆溪河和过境的秃尾河，其余河流多为这3条较大河流的小支流、小溪沟。</w:t>
      </w:r>
    </w:p>
    <w:p>
      <w:pPr>
        <w:ind w:firstLine="560" w:firstLineChars="200"/>
        <w:rPr>
          <w:sz w:val="28"/>
          <w:szCs w:val="28"/>
        </w:rPr>
      </w:pPr>
      <w:r>
        <w:rPr>
          <w:rFonts w:hint="eastAsia"/>
          <w:sz w:val="28"/>
          <w:szCs w:val="28"/>
        </w:rPr>
        <w:t>榆阳区境内地面年径流量多年平均值为4.54亿立方米，地下水调节储量为7.43亿立方米，全区拥有水资源量9.14亿立方米。地表径流入区境内的主要河流有榆溪河、无定河、海流兔河、秃尾河。全区水库21座，总库容1.47亿立方米，其中中型水库6座，小型水库15座，另有塘坝198个。区内西北沙漠滩地区是砂质土壤，水位高，透水性好，有不少沙泉；由东南沙漠滩地向黄土梁峁地区过渡的榆林城区地带，含水岩层破碎，裂隙密集，有不少水泉。区内西北沙漠滩地区湖泊星罗棋布，是陕西省湖泊最多的地区，据调查有大小湖泊（沙海子）130个，总水面1.5万亩。全区水资源分布受地质、地貌、水文地质、补给源和人类活动影响，各区域水资源贮量差异悬殊。西北部风沙滩地区水资源丰富，水资源总量占全区的72%，地下水可开采量为1.4亿立方米，水质好、埋藏浅，便于开发利用；东南部黄土丘陵沟壑区水资源贫乏，地表径流和地下水均少，叉不易开发利用；中南部河谷川边区水资源较为丰富，占全区3.9%的面积拥有全区7%以上的水资源量，地下水可开采量可为0.22亿立方米。</w:t>
      </w:r>
    </w:p>
    <w:p>
      <w:pPr>
        <w:rPr>
          <w:sz w:val="28"/>
          <w:szCs w:val="28"/>
        </w:rPr>
      </w:pPr>
      <w:r>
        <w:rPr>
          <w:rFonts w:hint="eastAsia"/>
          <w:sz w:val="28"/>
          <w:szCs w:val="28"/>
        </w:rPr>
        <w:t>四、面积数量</w:t>
      </w:r>
    </w:p>
    <w:p>
      <w:pPr>
        <w:ind w:firstLine="560" w:firstLineChars="200"/>
        <w:rPr>
          <w:sz w:val="28"/>
          <w:szCs w:val="28"/>
        </w:rPr>
      </w:pPr>
      <w:r>
        <w:rPr>
          <w:rFonts w:hint="eastAsia"/>
          <w:sz w:val="28"/>
          <w:szCs w:val="28"/>
        </w:rPr>
        <w:t>榆阳区养殖水域滩涂面积36060.74亩，其中池塘6103.16亩，水库28136.21亩，湖泊1821.37亩。</w:t>
      </w:r>
    </w:p>
    <w:p>
      <w:pPr>
        <w:outlineLvl w:val="2"/>
        <w:rPr>
          <w:b/>
          <w:sz w:val="28"/>
          <w:szCs w:val="28"/>
        </w:rPr>
      </w:pPr>
      <w:bookmarkStart w:id="18" w:name="_Toc532809854"/>
      <w:bookmarkStart w:id="19" w:name="_Toc529609949"/>
      <w:r>
        <w:rPr>
          <w:rFonts w:hint="eastAsia"/>
          <w:b/>
          <w:sz w:val="28"/>
          <w:szCs w:val="28"/>
        </w:rPr>
        <w:t>第二条 自然气候条件</w:t>
      </w:r>
      <w:bookmarkEnd w:id="18"/>
      <w:bookmarkEnd w:id="19"/>
    </w:p>
    <w:p>
      <w:pPr>
        <w:rPr>
          <w:sz w:val="28"/>
          <w:szCs w:val="28"/>
        </w:rPr>
      </w:pPr>
      <w:r>
        <w:rPr>
          <w:rFonts w:hint="eastAsia"/>
          <w:sz w:val="28"/>
          <w:szCs w:val="28"/>
        </w:rPr>
        <w:t>一、水文</w:t>
      </w:r>
    </w:p>
    <w:p>
      <w:pPr>
        <w:ind w:firstLine="560" w:firstLineChars="200"/>
        <w:rPr>
          <w:sz w:val="28"/>
          <w:szCs w:val="28"/>
        </w:rPr>
      </w:pPr>
      <w:r>
        <w:rPr>
          <w:rFonts w:hint="eastAsia"/>
          <w:sz w:val="28"/>
          <w:szCs w:val="28"/>
        </w:rPr>
        <w:t>境内河流属黄河水系。境北、西及东南部为无定河流域。东北小部分（麻黄梁、大河塌、安崖和刘千河乡局部）为秃尾河、佳芦河流域。境内河道纵横。最大的河是过境无定河，其次是境内的榆溪河和过境的秃尾河。</w:t>
      </w:r>
    </w:p>
    <w:p>
      <w:pPr>
        <w:ind w:firstLine="560" w:firstLineChars="200"/>
        <w:rPr>
          <w:sz w:val="28"/>
          <w:szCs w:val="28"/>
        </w:rPr>
      </w:pPr>
      <w:r>
        <w:rPr>
          <w:rFonts w:hint="eastAsia"/>
          <w:sz w:val="28"/>
          <w:szCs w:val="28"/>
        </w:rPr>
        <w:t>1、地表水</w:t>
      </w:r>
    </w:p>
    <w:p>
      <w:pPr>
        <w:ind w:firstLine="560" w:firstLineChars="200"/>
        <w:rPr>
          <w:sz w:val="28"/>
          <w:szCs w:val="28"/>
        </w:rPr>
      </w:pPr>
      <w:r>
        <w:rPr>
          <w:rFonts w:hint="eastAsia"/>
          <w:sz w:val="28"/>
          <w:szCs w:val="28"/>
        </w:rPr>
        <w:t>地表水年径流量5.86亿立方米，其中自产径流多年平均值4.54亿立方米，从内蒙通过地下渗入和汇集于河道的外来水1.32亿立方米，平均径流深度66.3毫米。榆溪河平均年过境径流3.7亿立方米，常年平均流量11.75立方米/秒，最枯期流量3立方米/秒，最大洪水流量1760立方米/秒（是常年流量的160倍），平均年输泥沙量419万吨，输泥沙率137公斤/秒，流域年平均土壤侵蚀模数875吨/平方公里。海流兔河平均年过境径流1.06亿立方米，常年平均流量3.4立方米/秒，最枯期流量0.8立方米/秒，最大洪水流量9立方米/秒，平均年输泥沙量58万吨，输泥沙率18.8公斤/秒，流域年平均土壤侵蚀模数242.7吨/平方公里。峁沟河常年流量0.55立方米/秒（西岔），最枯期流量0.3立方米/秒，最大洪水流量1000立方米/秒（1978年）。流域土壤侵蚀模数1.2～2.0万吨/平方公里。</w:t>
      </w:r>
    </w:p>
    <w:p>
      <w:pPr>
        <w:ind w:firstLine="560" w:firstLineChars="200"/>
        <w:rPr>
          <w:sz w:val="28"/>
          <w:szCs w:val="28"/>
        </w:rPr>
      </w:pPr>
      <w:r>
        <w:rPr>
          <w:rFonts w:hint="eastAsia"/>
          <w:sz w:val="28"/>
          <w:szCs w:val="28"/>
        </w:rPr>
        <w:t>2、地下水</w:t>
      </w:r>
    </w:p>
    <w:p>
      <w:pPr>
        <w:ind w:firstLine="560" w:firstLineChars="200"/>
        <w:rPr>
          <w:sz w:val="28"/>
          <w:szCs w:val="28"/>
        </w:rPr>
      </w:pPr>
      <w:r>
        <w:rPr>
          <w:rFonts w:hint="eastAsia"/>
          <w:sz w:val="28"/>
          <w:szCs w:val="28"/>
        </w:rPr>
        <w:t>境内地下水，潜水和承压水皆有。由于降水强度、水文地质、地形地貌、岩性、气温等因素，形成沙漠滩地（包括低缓黄土山梁）、丘陵沟壑、河川3个不同的地下水文地质区。沙漠滩地区地形四周高，中部低洼，地势平缓，有利于地表水的汇集下渗；上覆第四纪沉积物以细砂为主，具有一定厚度，分布广，透水性好，对地下水的汇集和储存十分有利；下伏基岩以胶结差，结构疏松的洛河组砂岩为主，透水性较好；朱罗系基岩风化壳也未遭到严重的切割破坏，几方面的优越条件，使沙漠滩地区成为一个富水的水文地质单元。丘陵沟壑区，地势高而破碎，沟谷深切，基岩裸露，黄土呈帽状覆盖于基岩梁峁之上，下伏基岩风化，完整性遭到严重破坏，有利于地表水径流和地下水排泄，而不利降水的汇集下渗，地下的补给贮存条件很差，地下水资源贫乏，只在有隔水层存在的局部地段才有泉水泄出。河川区，基岩构造形迹微弱，产状平缓，构成向西微倾的单斜构造，在榆溪河、无定河较大的河谷中，发育较宽的平坦Ⅰ级阶地和高漫滩贮存有一定量的地下水。第四系松散层潜水包括沙漠滩地湖积层细砂为主的孔隙潜水（萨拉乌苏组潜水），河谷冲积、洪积层潜水、黄土层裂孔洞潜水等。承压水属碎屑岩类裂隙孔隙承压水，主要赋存于三叠系各组砂岩中，分布广泛，不连续，赋水性弱或中等。境内潜水主要靠降水补给，补给量与降水量、降水强度、水文地质、地貌及气温、蒸发量等因素有关。境内地下水径流方向，深层由西北而东南，浅层与河谷水系流向相同。</w:t>
      </w:r>
    </w:p>
    <w:p>
      <w:pPr>
        <w:rPr>
          <w:sz w:val="28"/>
          <w:szCs w:val="28"/>
        </w:rPr>
      </w:pPr>
      <w:r>
        <w:rPr>
          <w:rFonts w:hint="eastAsia"/>
          <w:sz w:val="28"/>
          <w:szCs w:val="28"/>
        </w:rPr>
        <w:t>二、水质</w:t>
      </w:r>
    </w:p>
    <w:p>
      <w:pPr>
        <w:ind w:firstLine="560" w:firstLineChars="200"/>
        <w:rPr>
          <w:sz w:val="28"/>
          <w:szCs w:val="28"/>
        </w:rPr>
      </w:pPr>
      <w:r>
        <w:rPr>
          <w:rFonts w:hint="eastAsia"/>
          <w:sz w:val="28"/>
          <w:szCs w:val="28"/>
        </w:rPr>
        <w:t>榆阳区水质状况可满足农田灌溉、城乡供水、渔业发展。</w:t>
      </w:r>
    </w:p>
    <w:p>
      <w:pPr>
        <w:ind w:firstLine="560" w:firstLineChars="200"/>
        <w:rPr>
          <w:sz w:val="28"/>
          <w:szCs w:val="28"/>
        </w:rPr>
      </w:pPr>
      <w:r>
        <w:rPr>
          <w:rFonts w:hint="eastAsia"/>
          <w:sz w:val="28"/>
          <w:szCs w:val="28"/>
        </w:rPr>
        <w:t>2016年，无定河、榆溪河流域地表水水质优良比例达到37.5%以上，劣V类断面比例小于8%。城镇集中式饮用水水源水质全部达标。全区地下水水质极差比例控制在15%以内。</w:t>
      </w:r>
    </w:p>
    <w:p>
      <w:pPr>
        <w:ind w:firstLine="560" w:firstLineChars="200"/>
        <w:rPr>
          <w:sz w:val="28"/>
          <w:szCs w:val="28"/>
        </w:rPr>
      </w:pPr>
      <w:r>
        <w:rPr>
          <w:rFonts w:hint="eastAsia"/>
          <w:sz w:val="28"/>
          <w:szCs w:val="28"/>
        </w:rPr>
        <w:t>2017年，榆阳区集中式生活饮用水水源地按《地表水环境质量标准》（GB3838-2002）、《地下水质量标准》（GB/T 14848-1993）进行评价，城区地表水水源1个（红石峡水库水源地）、地下水水源2个（榆阳泉水源地、普惠泉水源地），这3个集中式饮用水水源全部达标，达标率100%。榆溪河上设有红石峡、刘官寨、鱼河3个监测断面，其中红石峡断面为Ⅱ类水质（水质目标Ⅱ类），刘官寨断面为Ⅳ类水质（水质目标Ⅳ类），鱼河断面为Ⅴ类（水质目标Ⅳ类）。下游鱼河断面水体重度污染，水质降为Ⅴ类，氨氮平均浓度为1.52mg/L，超标0.011倍，不满足Ⅳ类水质的考核要求。</w:t>
      </w:r>
    </w:p>
    <w:p>
      <w:pPr>
        <w:rPr>
          <w:sz w:val="28"/>
          <w:szCs w:val="28"/>
        </w:rPr>
      </w:pPr>
      <w:r>
        <w:rPr>
          <w:rFonts w:hint="eastAsia"/>
          <w:sz w:val="28"/>
          <w:szCs w:val="28"/>
        </w:rPr>
        <w:t>三、气候</w:t>
      </w:r>
    </w:p>
    <w:p>
      <w:pPr>
        <w:ind w:firstLine="560" w:firstLineChars="200"/>
        <w:rPr>
          <w:sz w:val="28"/>
          <w:szCs w:val="28"/>
        </w:rPr>
      </w:pPr>
      <w:r>
        <w:rPr>
          <w:rFonts w:hint="eastAsia"/>
          <w:sz w:val="28"/>
          <w:szCs w:val="28"/>
        </w:rPr>
        <w:t>榆阳区属中温带半干旱大陆性季风气候，降水量少而不均，气候干燥，日照充足，四季分明。春季干旱多风，秋季温凉湿润。区内年均气温8.1℃，极端最高气温38.6℃，最低气温-32.7℃。年均日照2879小时，大于10℃的积温3217.6℃。年总辐射量145.2Kcal/cm</w:t>
      </w:r>
      <w:r>
        <w:rPr>
          <w:rFonts w:hint="eastAsia"/>
          <w:sz w:val="28"/>
          <w:szCs w:val="28"/>
          <w:vertAlign w:val="superscript"/>
        </w:rPr>
        <w:t>2</w:t>
      </w:r>
      <w:r>
        <w:rPr>
          <w:rFonts w:hint="eastAsia"/>
          <w:sz w:val="28"/>
          <w:szCs w:val="28"/>
        </w:rPr>
        <w:t>。多年均降水量368.9mm，63%集中在7、8、9三个月份。年最大降水量为604.1mm（1964年），最小降水量为155.9mm（1965年）；日最大降雨141.7mm（1951年8月15日）。年平均大气蒸发量为1195.5mm，是降水量的2.89倍；干燥度为3.01，湿润指数为0.33。无霜期短且变幅大，年平均无霜期为155天。年均冰封期从11月中旬至翌年3月中旬，约120天。</w:t>
      </w:r>
    </w:p>
    <w:p>
      <w:pPr>
        <w:rPr>
          <w:sz w:val="28"/>
          <w:szCs w:val="28"/>
        </w:rPr>
      </w:pPr>
      <w:r>
        <w:rPr>
          <w:rFonts w:hint="eastAsia"/>
          <w:sz w:val="28"/>
          <w:szCs w:val="28"/>
        </w:rPr>
        <w:t>四、自然灾害</w:t>
      </w:r>
    </w:p>
    <w:p>
      <w:pPr>
        <w:ind w:firstLine="560" w:firstLineChars="200"/>
        <w:rPr>
          <w:sz w:val="28"/>
          <w:szCs w:val="28"/>
        </w:rPr>
      </w:pPr>
      <w:r>
        <w:rPr>
          <w:rFonts w:hint="eastAsia"/>
          <w:sz w:val="28"/>
          <w:szCs w:val="28"/>
        </w:rPr>
        <w:t>本区自然灾害频繁，尤以旱灾、雹灾、洪涝、霜冻、风沙灾为多，且危害大。1950—1990年出现重大旱、雹、洪、霜冻、风沙、虫灾有记录者109次，其中重大旱灾33次，占重大自然灾害出现频率的30.1％；重雹灾29次，占26.6％；重大洪灾21次，占19.3％；重大霜冻灾14次，占12.8％；大风沙灾9次，占8.3％；虫灾3次，占2.8％。70年代以来，本区开展人工防雹和人工降雨工作，减轻了这方面的自然灾害。本区水产养殖业主要受到洪涝灾害影响。在汛期前，应切实加强渔业生产防范，做好灾害预警信息传递工作，深入养殖基地，帮助养殖户做好灾害防范工作，确保渔业生产安全。</w:t>
      </w:r>
    </w:p>
    <w:p>
      <w:pPr>
        <w:outlineLvl w:val="2"/>
        <w:rPr>
          <w:b/>
          <w:sz w:val="28"/>
          <w:szCs w:val="28"/>
        </w:rPr>
      </w:pPr>
      <w:bookmarkStart w:id="20" w:name="_Toc532809855"/>
      <w:bookmarkStart w:id="21" w:name="_Toc529609950"/>
      <w:r>
        <w:rPr>
          <w:rFonts w:hint="eastAsia"/>
          <w:b/>
          <w:sz w:val="28"/>
          <w:szCs w:val="28"/>
        </w:rPr>
        <w:t>第三条 水生生物资源状况</w:t>
      </w:r>
      <w:bookmarkEnd w:id="20"/>
      <w:bookmarkEnd w:id="21"/>
    </w:p>
    <w:p>
      <w:pPr>
        <w:rPr>
          <w:sz w:val="28"/>
          <w:szCs w:val="28"/>
        </w:rPr>
      </w:pPr>
      <w:r>
        <w:rPr>
          <w:rFonts w:hint="eastAsia"/>
          <w:sz w:val="28"/>
          <w:szCs w:val="28"/>
        </w:rPr>
        <w:t>一、浮游生物</w:t>
      </w:r>
    </w:p>
    <w:p>
      <w:pPr>
        <w:ind w:firstLine="560" w:firstLineChars="200"/>
        <w:rPr>
          <w:sz w:val="28"/>
          <w:szCs w:val="28"/>
        </w:rPr>
      </w:pPr>
      <w:r>
        <w:rPr>
          <w:rFonts w:hint="eastAsia"/>
          <w:sz w:val="28"/>
          <w:szCs w:val="28"/>
        </w:rPr>
        <w:t>榆阳区浮游植物以硅藻为优势种，其它为绿藻、裸藻、蓝藻等共4门50种，生物量为0.57～4.50 万个/升、0.0317～0.0587 毫克/升。</w:t>
      </w:r>
    </w:p>
    <w:p>
      <w:pPr>
        <w:ind w:firstLine="560" w:firstLineChars="200"/>
        <w:rPr>
          <w:sz w:val="28"/>
          <w:szCs w:val="28"/>
        </w:rPr>
      </w:pPr>
      <w:r>
        <w:rPr>
          <w:rFonts w:hint="eastAsia"/>
          <w:sz w:val="28"/>
          <w:szCs w:val="28"/>
        </w:rPr>
        <w:t>浮游动物共有3个类群20种属，以原生动物为优势种，其它为轮虫、枝角类等，生物量为0.0025～0.0065万个/升、0.00125～0.00815 毫克/升。</w:t>
      </w:r>
    </w:p>
    <w:p>
      <w:pPr>
        <w:rPr>
          <w:sz w:val="28"/>
          <w:szCs w:val="28"/>
        </w:rPr>
      </w:pPr>
      <w:r>
        <w:rPr>
          <w:rFonts w:hint="eastAsia"/>
          <w:sz w:val="28"/>
          <w:szCs w:val="28"/>
        </w:rPr>
        <w:t>二、底栖动物</w:t>
      </w:r>
    </w:p>
    <w:p>
      <w:pPr>
        <w:ind w:firstLine="560" w:firstLineChars="200"/>
        <w:rPr>
          <w:sz w:val="28"/>
          <w:szCs w:val="28"/>
        </w:rPr>
      </w:pPr>
      <w:r>
        <w:rPr>
          <w:rFonts w:hint="eastAsia"/>
          <w:sz w:val="28"/>
          <w:szCs w:val="28"/>
        </w:rPr>
        <w:t>榆阳区底栖动物共有3门7目7科8种，生物量为4.63～99.00个/平方米、7.10～49.12 毫克/平方米，以节肢动物占优势，其它为软体动物和环节动物。</w:t>
      </w:r>
    </w:p>
    <w:p>
      <w:pPr>
        <w:rPr>
          <w:sz w:val="28"/>
          <w:szCs w:val="28"/>
        </w:rPr>
      </w:pPr>
      <w:r>
        <w:rPr>
          <w:rFonts w:hint="eastAsia"/>
          <w:sz w:val="28"/>
          <w:szCs w:val="28"/>
        </w:rPr>
        <w:t>三、鱼类资源</w:t>
      </w:r>
    </w:p>
    <w:p>
      <w:pPr>
        <w:ind w:firstLine="560" w:firstLineChars="200"/>
        <w:rPr>
          <w:sz w:val="28"/>
          <w:szCs w:val="28"/>
        </w:rPr>
      </w:pPr>
      <w:r>
        <w:rPr>
          <w:rFonts w:hint="eastAsia"/>
          <w:sz w:val="28"/>
          <w:szCs w:val="28"/>
        </w:rPr>
        <w:t>区域内河流水域纵横，渔业资源丰富，是陕北渔业的重要产区。鱼类共有1目2科12种，有大鳞副泥鳅、北方花鳅、泥鳅、马口鱼、麦穗鱼、棒花鱼、鲤鱼、鲫鱼、餐条、草鱼、鳙鱼、鲢鱼等。</w:t>
      </w:r>
    </w:p>
    <w:p>
      <w:pPr>
        <w:ind w:firstLine="560" w:firstLineChars="200"/>
        <w:rPr>
          <w:sz w:val="28"/>
          <w:szCs w:val="28"/>
        </w:rPr>
      </w:pPr>
      <w:r>
        <w:rPr>
          <w:rFonts w:hint="eastAsia"/>
          <w:sz w:val="28"/>
          <w:szCs w:val="28"/>
        </w:rPr>
        <w:t>全区有养殖鱼类16种，常规品种养殖鲤鱼、草鱼、鲫鱼、鲢鱼、鳙鱼、鲂鱼、鲶鱼等；引进名优特水产品种养殖池沼公鱼、锦鲤、南方大口鲶、斑点叉尾鲴、黄颡鱼、匙吻鲟、长丰鲢鱼、脆肉鲩、乌鳢等。</w:t>
      </w:r>
    </w:p>
    <w:p>
      <w:pPr>
        <w:rPr>
          <w:sz w:val="28"/>
          <w:szCs w:val="28"/>
        </w:rPr>
      </w:pPr>
      <w:r>
        <w:rPr>
          <w:rFonts w:hint="eastAsia"/>
          <w:sz w:val="28"/>
          <w:szCs w:val="28"/>
        </w:rPr>
        <w:t>四、其他水生动物</w:t>
      </w:r>
    </w:p>
    <w:p>
      <w:pPr>
        <w:ind w:firstLine="560" w:firstLineChars="200"/>
        <w:rPr>
          <w:sz w:val="28"/>
          <w:szCs w:val="28"/>
        </w:rPr>
      </w:pPr>
      <w:r>
        <w:rPr>
          <w:rFonts w:hint="eastAsia"/>
          <w:sz w:val="28"/>
          <w:szCs w:val="28"/>
        </w:rPr>
        <w:t>全区有甲壳类4种（其中虾类3种、短尾类1种）；龟鳖类1种；两栖类2种；有日本沼虾、克氏原螯虾、南美白对虾等虾类；中华绒螯蟹等蟹类；中华鳖、黑斑蛙、大鲵等两爬类。</w:t>
      </w:r>
    </w:p>
    <w:p>
      <w:pPr>
        <w:ind w:firstLine="560" w:firstLineChars="200"/>
        <w:rPr>
          <w:sz w:val="28"/>
          <w:szCs w:val="28"/>
        </w:rPr>
      </w:pPr>
      <w:r>
        <w:rPr>
          <w:rFonts w:hint="eastAsia"/>
          <w:sz w:val="28"/>
          <w:szCs w:val="28"/>
        </w:rPr>
        <w:t>全区养殖品种6种，甲壳类主要有中华绒螯蟹、克氏原螯虾、南美白对虾等；两爬类主要有龟、鳖、大鲵等。</w:t>
      </w:r>
    </w:p>
    <w:p>
      <w:pPr>
        <w:rPr>
          <w:sz w:val="28"/>
          <w:szCs w:val="28"/>
        </w:rPr>
      </w:pPr>
      <w:r>
        <w:rPr>
          <w:rFonts w:hint="eastAsia"/>
          <w:sz w:val="28"/>
          <w:szCs w:val="28"/>
        </w:rPr>
        <w:t>五、水生植物</w:t>
      </w:r>
    </w:p>
    <w:p>
      <w:pPr>
        <w:ind w:firstLine="560" w:firstLineChars="200"/>
        <w:rPr>
          <w:sz w:val="28"/>
          <w:szCs w:val="28"/>
        </w:rPr>
      </w:pPr>
      <w:r>
        <w:rPr>
          <w:rFonts w:hint="eastAsia"/>
          <w:sz w:val="28"/>
          <w:szCs w:val="28"/>
        </w:rPr>
        <w:t>水生植物有14科21属26种，有挺水植物、漂浮植物及沉水植物等三种类型，以禾本科的种数最多。常见的有：香蒲、稗子、芦苇、莲、菹草、金鱼藻等。水生植被覆盖率介于10%～30%。水生植物是水生生态系统重要组成部分，对水生生态系统运转起到至关重要的作用，同时也是鱼类、鸟类、两栖类、底栖动物及其它水生生物良好的产卵场和隐蔽所。</w:t>
      </w:r>
    </w:p>
    <w:p>
      <w:pPr>
        <w:outlineLvl w:val="2"/>
        <w:rPr>
          <w:b/>
          <w:sz w:val="28"/>
          <w:szCs w:val="28"/>
        </w:rPr>
      </w:pPr>
      <w:bookmarkStart w:id="22" w:name="_Toc529609951"/>
      <w:bookmarkStart w:id="23" w:name="_Toc532809856"/>
      <w:r>
        <w:rPr>
          <w:rFonts w:hint="eastAsia"/>
          <w:b/>
          <w:sz w:val="28"/>
          <w:szCs w:val="28"/>
        </w:rPr>
        <w:t>第四条 水域环境状况</w:t>
      </w:r>
      <w:bookmarkEnd w:id="22"/>
      <w:bookmarkEnd w:id="23"/>
    </w:p>
    <w:p>
      <w:pPr>
        <w:rPr>
          <w:sz w:val="28"/>
          <w:szCs w:val="28"/>
        </w:rPr>
      </w:pPr>
      <w:r>
        <w:rPr>
          <w:rFonts w:hint="eastAsia"/>
          <w:sz w:val="28"/>
          <w:szCs w:val="28"/>
        </w:rPr>
        <w:t>1、水域环境监测结果总体评价</w:t>
      </w:r>
    </w:p>
    <w:p>
      <w:pPr>
        <w:ind w:firstLine="560" w:firstLineChars="200"/>
        <w:rPr>
          <w:sz w:val="28"/>
          <w:szCs w:val="28"/>
        </w:rPr>
      </w:pPr>
      <w:r>
        <w:rPr>
          <w:rFonts w:hint="eastAsia"/>
          <w:sz w:val="28"/>
          <w:szCs w:val="28"/>
        </w:rPr>
        <w:t>《2016年榆林市环境质量状况通报》显示，对榆溪河监控3个断面，分别为红石峡断面、刘官寨断面和鱼河断面。评价因子：地表水为pH、溶解氧、高锰酸盐指数、化学需氧量、氨氮、挥发酚、氰化物等21项。榆溪河整体水质劣于Ⅲ类水质标准，实际水质为Ⅳ类，水质属轻度污染，主要污染指标为化学需氧量和氨氮，分别超标0.09倍和0.34倍。3个断面中，红石峡断面各项指标符合Ⅱ类水质标准，实际水质为Ⅱ类，水质优；鱼河断面部分指标劣于Ⅲ类水质标准，实际水质为Ⅴ类，水质属中度污染，主要污染指标为生化需氧量、化学需氧量、氨氮和总磷，分别超Ⅲ类水质标准0.05倍、0.25倍、0.95倍和0.20倍；刘官寨断面部分指标劣于Ⅲ类水质标准，实际水质为Ⅴ类，水质属中度污染，主要污染指标为生化需氧量、化学需氧量、氨氮和总磷，生化需氧量超Ⅲ类水质标准0.18倍，化学需氧量超Ⅲ类水质标准0.30倍，氨氮超标0.87倍，总磷超标0.10倍。</w:t>
      </w:r>
    </w:p>
    <w:p>
      <w:pPr>
        <w:ind w:firstLine="560" w:firstLineChars="200"/>
        <w:rPr>
          <w:sz w:val="28"/>
          <w:szCs w:val="28"/>
        </w:rPr>
      </w:pPr>
      <w:r>
        <w:rPr>
          <w:rFonts w:hint="eastAsia"/>
          <w:sz w:val="28"/>
          <w:szCs w:val="28"/>
        </w:rPr>
        <w:t>榆林市环境监测总站对所在城市辖区的4个城市集中式饮用水源水质地进行了监测，地表水包括红石峡水库、尤家峁水库，地下水包括榆阳泉、普惠泉。水质评价执行《地表水环境质量标准（GB 3838-2002）》和《地下水质量标准（GB/T 14848-93）》Ⅲ类标准；采用最大单因子类别法评价水源地水质。榆林市区4个集中式饮用水源地水质达标率为100%，且优于标准要求，水质较好。其中地表水红石峡水源地分析的水温（℃）、pH、溶解氧、高锰酸盐指数、总磷、氨氮、氟化物、挥发酚、石油类、粪大肠菌群等共63项指标，全部达到地表水Ⅲ类标准限值要求，实际水质为Ⅱ类，水源水质优。尤家峁水库分析的水温（℃）、pH、溶解氧、高锰酸盐指数、总磷、氨氮、氟化物、挥发酚、石油类、粪大肠菌群等29项指标，全部达到地表水Ⅲ类标准限值要求，实际水质为Ⅱ类，水源水质优。地下水榆阳泉、普惠泉分析的pH、总硬度、硫酸盐、氯化物、高锰酸盐指数、氨氮、氟化物、总大肠菌群等共23项指标，均满足地下水Ⅲ类水质要求，实际水质达Ⅱ类标准。</w:t>
      </w:r>
    </w:p>
    <w:p>
      <w:pPr>
        <w:rPr>
          <w:sz w:val="28"/>
          <w:szCs w:val="28"/>
        </w:rPr>
      </w:pPr>
      <w:r>
        <w:rPr>
          <w:rFonts w:hint="eastAsia"/>
          <w:sz w:val="28"/>
          <w:szCs w:val="28"/>
        </w:rPr>
        <w:t>2、污染种类及来源</w:t>
      </w:r>
    </w:p>
    <w:p>
      <w:pPr>
        <w:ind w:firstLine="560" w:firstLineChars="200"/>
        <w:rPr>
          <w:sz w:val="28"/>
          <w:szCs w:val="28"/>
        </w:rPr>
      </w:pPr>
      <w:r>
        <w:rPr>
          <w:rFonts w:hint="eastAsia"/>
          <w:sz w:val="28"/>
          <w:szCs w:val="28"/>
        </w:rPr>
        <w:t>榆溪河污染指标为生化需氧量、氨氮、总磷、化学需氧量，其中主要污染指标化学需氧量和氨氮，分别超标0.09倍和0.34倍。</w:t>
      </w:r>
    </w:p>
    <w:p>
      <w:pPr>
        <w:ind w:firstLine="560" w:firstLineChars="200"/>
        <w:rPr>
          <w:sz w:val="28"/>
          <w:szCs w:val="28"/>
        </w:rPr>
      </w:pPr>
      <w:r>
        <w:rPr>
          <w:rFonts w:hint="eastAsia"/>
          <w:sz w:val="28"/>
          <w:szCs w:val="28"/>
        </w:rPr>
        <w:t>榆阳区工业废水和生活污水也会排放大量的氮磷物质，污染物主要来源：工业、农业、生活废污水排放，水产养殖水库、鱼塘排水，有机污染以及农田施用农药、化肥的面源污染。</w:t>
      </w:r>
    </w:p>
    <w:p>
      <w:pPr>
        <w:outlineLvl w:val="2"/>
        <w:rPr>
          <w:b/>
          <w:sz w:val="28"/>
          <w:szCs w:val="28"/>
        </w:rPr>
      </w:pPr>
      <w:bookmarkStart w:id="24" w:name="_Toc532809857"/>
      <w:bookmarkStart w:id="25" w:name="_Toc529609952"/>
      <w:r>
        <w:rPr>
          <w:rFonts w:hint="eastAsia"/>
          <w:b/>
          <w:sz w:val="28"/>
          <w:szCs w:val="28"/>
        </w:rPr>
        <w:t>第五条 水域滩涂承载力评价</w:t>
      </w:r>
      <w:bookmarkEnd w:id="24"/>
      <w:bookmarkEnd w:id="25"/>
    </w:p>
    <w:p>
      <w:pPr>
        <w:ind w:firstLine="560" w:firstLineChars="200"/>
        <w:rPr>
          <w:sz w:val="28"/>
          <w:szCs w:val="28"/>
        </w:rPr>
      </w:pPr>
      <w:r>
        <w:rPr>
          <w:rFonts w:hint="eastAsia"/>
          <w:sz w:val="28"/>
          <w:szCs w:val="28"/>
        </w:rPr>
        <w:t>榆阳区养殖面积较为稳定，水域滩涂承载力评价方向为淡水养殖。其中，鲤鱼、草鱼等大宗淡水鱼产量约占全部产量的9</w:t>
      </w:r>
      <w:r>
        <w:rPr>
          <w:sz w:val="28"/>
          <w:szCs w:val="28"/>
        </w:rPr>
        <w:t>0%</w:t>
      </w:r>
      <w:r>
        <w:rPr>
          <w:rFonts w:hint="eastAsia"/>
          <w:sz w:val="28"/>
          <w:szCs w:val="28"/>
        </w:rPr>
        <w:t>以上，其他种类占比较小，因此榆阳水域滩涂承载力评价以大宗淡水鱼养殖为主进行计算和评价。</w:t>
      </w:r>
    </w:p>
    <w:p>
      <w:pPr>
        <w:rPr>
          <w:sz w:val="28"/>
          <w:szCs w:val="28"/>
        </w:rPr>
      </w:pPr>
      <w:r>
        <w:rPr>
          <w:sz w:val="28"/>
          <w:szCs w:val="28"/>
        </w:rPr>
        <w:t>1</w:t>
      </w:r>
      <w:r>
        <w:rPr>
          <w:rFonts w:hint="eastAsia"/>
          <w:sz w:val="28"/>
          <w:szCs w:val="28"/>
        </w:rPr>
        <w:t>、水域滩涂承载力评价</w:t>
      </w:r>
    </w:p>
    <w:p>
      <w:pPr>
        <w:ind w:firstLine="560" w:firstLineChars="200"/>
        <w:rPr>
          <w:sz w:val="28"/>
          <w:szCs w:val="28"/>
        </w:rPr>
      </w:pPr>
      <w:r>
        <w:rPr>
          <w:rFonts w:hint="eastAsia"/>
          <w:sz w:val="28"/>
          <w:szCs w:val="28"/>
        </w:rPr>
        <w:t>榆阳区属于中温带半干旱大陆性季风气候，四季分明，冷暖有序，日照充足，干、湿地域各异，水生生物资源丰富。区内整体水域滩涂类型多样，水资源丰富，水库21座，总库容1.47亿m³，其中中型水库6座，小型水库15座，另有塘坝198个。池塘0.61万亩，水库2.81万亩，湖泊0.18万亩，全区渔业养殖面积达3.61万亩。</w:t>
      </w:r>
    </w:p>
    <w:p>
      <w:pPr>
        <w:ind w:firstLine="560" w:firstLineChars="200"/>
        <w:rPr>
          <w:sz w:val="28"/>
          <w:szCs w:val="28"/>
        </w:rPr>
      </w:pPr>
      <w:r>
        <w:rPr>
          <w:rFonts w:hint="eastAsia"/>
          <w:sz w:val="28"/>
          <w:szCs w:val="28"/>
        </w:rPr>
        <w:t>总体来看，榆阳区具有发展水产养殖的优势条件，池塘还有一定的增产潜力，水域有较大的开发空间。可在池塘开展高效健康优质精养，发展设施化、现代化、工厂化养殖模式，提高优势名优品种养殖比例；在水库开展放牧式生态增殖，主养鲢、鳙等滤食性鱼类；进一步开发利用稻田资源，开展稻渔综合种养，发展克氏原螯虾、中华鳖、中华绒螯蟹等特色品种。</w:t>
      </w:r>
    </w:p>
    <w:p>
      <w:pPr>
        <w:rPr>
          <w:sz w:val="28"/>
          <w:szCs w:val="28"/>
        </w:rPr>
      </w:pPr>
      <w:r>
        <w:rPr>
          <w:sz w:val="28"/>
          <w:szCs w:val="28"/>
        </w:rPr>
        <w:t>2</w:t>
      </w:r>
      <w:r>
        <w:rPr>
          <w:rFonts w:hint="eastAsia"/>
          <w:sz w:val="28"/>
          <w:szCs w:val="28"/>
        </w:rPr>
        <w:t>、鱼产力估算</w:t>
      </w:r>
    </w:p>
    <w:p>
      <w:pPr>
        <w:ind w:firstLine="560" w:firstLineChars="200"/>
        <w:rPr>
          <w:sz w:val="28"/>
          <w:szCs w:val="28"/>
        </w:rPr>
      </w:pPr>
      <w:r>
        <w:rPr>
          <w:rFonts w:hint="eastAsia"/>
          <w:sz w:val="28"/>
          <w:szCs w:val="28"/>
        </w:rPr>
        <w:t>淡水养殖在榆阳区具有得天独厚的地理气候条件。对区内水域滩涂类型和规模分析，榆阳区水域滩涂养殖承载力分为以下类型：（</w:t>
      </w:r>
      <w:r>
        <w:rPr>
          <w:sz w:val="28"/>
          <w:szCs w:val="28"/>
        </w:rPr>
        <w:t>1</w:t>
      </w:r>
      <w:r>
        <w:rPr>
          <w:rFonts w:hint="eastAsia"/>
          <w:sz w:val="28"/>
          <w:szCs w:val="28"/>
        </w:rPr>
        <w:t>）池塘水体，通过提质改造与标准化建设，养殖容量维持在0.6～1.0吨</w:t>
      </w:r>
      <w:r>
        <w:rPr>
          <w:sz w:val="28"/>
          <w:szCs w:val="28"/>
        </w:rPr>
        <w:t>/</w:t>
      </w:r>
      <w:r>
        <w:rPr>
          <w:rFonts w:hint="eastAsia"/>
          <w:sz w:val="28"/>
          <w:szCs w:val="28"/>
        </w:rPr>
        <w:t>亩</w:t>
      </w:r>
      <w:r>
        <w:rPr>
          <w:sz w:val="28"/>
          <w:szCs w:val="28"/>
        </w:rPr>
        <w:t>/</w:t>
      </w:r>
      <w:r>
        <w:rPr>
          <w:rFonts w:hint="eastAsia"/>
          <w:sz w:val="28"/>
          <w:szCs w:val="28"/>
        </w:rPr>
        <w:t>年；（</w:t>
      </w:r>
      <w:r>
        <w:rPr>
          <w:sz w:val="28"/>
          <w:szCs w:val="28"/>
        </w:rPr>
        <w:t>2</w:t>
      </w:r>
      <w:r>
        <w:rPr>
          <w:rFonts w:hint="eastAsia"/>
          <w:sz w:val="28"/>
          <w:szCs w:val="28"/>
        </w:rPr>
        <w:t>）中小型水库限制投肥投饵，预计天然产量80～100公斤</w:t>
      </w:r>
      <w:r>
        <w:rPr>
          <w:sz w:val="28"/>
          <w:szCs w:val="28"/>
        </w:rPr>
        <w:t>/</w:t>
      </w:r>
      <w:r>
        <w:rPr>
          <w:rFonts w:hint="eastAsia"/>
          <w:sz w:val="28"/>
          <w:szCs w:val="28"/>
        </w:rPr>
        <w:t>亩</w:t>
      </w:r>
      <w:r>
        <w:rPr>
          <w:sz w:val="28"/>
          <w:szCs w:val="28"/>
        </w:rPr>
        <w:t>/</w:t>
      </w:r>
      <w:r>
        <w:rPr>
          <w:rFonts w:hint="eastAsia"/>
          <w:sz w:val="28"/>
          <w:szCs w:val="28"/>
        </w:rPr>
        <w:t>年；（</w:t>
      </w:r>
      <w:r>
        <w:rPr>
          <w:sz w:val="28"/>
          <w:szCs w:val="28"/>
        </w:rPr>
        <w:t>3</w:t>
      </w:r>
      <w:r>
        <w:rPr>
          <w:rFonts w:hint="eastAsia"/>
          <w:sz w:val="28"/>
          <w:szCs w:val="28"/>
        </w:rPr>
        <w:t>）稻渔综合种养产量维持在</w:t>
      </w:r>
      <w:r>
        <w:rPr>
          <w:sz w:val="28"/>
          <w:szCs w:val="28"/>
        </w:rPr>
        <w:t>50</w:t>
      </w:r>
      <w:r>
        <w:rPr>
          <w:rFonts w:hint="eastAsia"/>
          <w:sz w:val="28"/>
          <w:szCs w:val="28"/>
        </w:rPr>
        <w:t>～150公斤</w:t>
      </w:r>
      <w:r>
        <w:rPr>
          <w:sz w:val="28"/>
          <w:szCs w:val="28"/>
        </w:rPr>
        <w:t>/</w:t>
      </w:r>
      <w:r>
        <w:rPr>
          <w:rFonts w:hint="eastAsia"/>
          <w:sz w:val="28"/>
          <w:szCs w:val="28"/>
        </w:rPr>
        <w:t>亩</w:t>
      </w:r>
      <w:r>
        <w:rPr>
          <w:sz w:val="28"/>
          <w:szCs w:val="28"/>
        </w:rPr>
        <w:t>/</w:t>
      </w:r>
      <w:r>
        <w:rPr>
          <w:rFonts w:hint="eastAsia"/>
          <w:sz w:val="28"/>
          <w:szCs w:val="28"/>
        </w:rPr>
        <w:t>年。在有效控制养殖业对环境污染影响的前提下，达到提升产能与保护环境的有机统一，总体确保水产品产能达到4500吨左右</w:t>
      </w:r>
      <w:r>
        <w:rPr>
          <w:sz w:val="28"/>
          <w:szCs w:val="28"/>
        </w:rPr>
        <w:t>/</w:t>
      </w:r>
      <w:r>
        <w:rPr>
          <w:rFonts w:hint="eastAsia"/>
          <w:sz w:val="28"/>
          <w:szCs w:val="28"/>
        </w:rPr>
        <w:t>年，可有效控制养殖业对环境污染的影响，达到提升产能与保护环境的有机统一。榆阳水域滩涂承载力处于较高水平，而当前养殖压力水平较低，养殖发展仍有较大的空间和潜力。</w:t>
      </w:r>
      <w:bookmarkStart w:id="26" w:name="_Toc529609953"/>
    </w:p>
    <w:p>
      <w:pPr>
        <w:spacing w:beforeLines="50" w:afterLines="50"/>
        <w:outlineLvl w:val="1"/>
        <w:rPr>
          <w:b/>
          <w:sz w:val="30"/>
          <w:szCs w:val="30"/>
        </w:rPr>
      </w:pPr>
      <w:bookmarkStart w:id="27" w:name="_Toc532809858"/>
      <w:r>
        <w:rPr>
          <w:rFonts w:hint="eastAsia"/>
          <w:b/>
          <w:sz w:val="30"/>
          <w:szCs w:val="30"/>
        </w:rPr>
        <w:t>第七节 水产养殖产业发展分析</w:t>
      </w:r>
      <w:bookmarkEnd w:id="26"/>
      <w:bookmarkEnd w:id="27"/>
    </w:p>
    <w:p>
      <w:pPr>
        <w:outlineLvl w:val="2"/>
        <w:rPr>
          <w:b/>
          <w:sz w:val="28"/>
          <w:szCs w:val="28"/>
        </w:rPr>
      </w:pPr>
      <w:bookmarkStart w:id="28" w:name="_Toc529609954"/>
      <w:bookmarkStart w:id="29" w:name="_Toc532809859"/>
      <w:r>
        <w:rPr>
          <w:rFonts w:hint="eastAsia"/>
          <w:b/>
          <w:sz w:val="28"/>
          <w:szCs w:val="28"/>
        </w:rPr>
        <w:t>第一条 水产养殖发展现状</w:t>
      </w:r>
      <w:bookmarkEnd w:id="28"/>
      <w:bookmarkEnd w:id="29"/>
    </w:p>
    <w:p>
      <w:pPr>
        <w:rPr>
          <w:sz w:val="28"/>
          <w:szCs w:val="28"/>
        </w:rPr>
      </w:pPr>
      <w:r>
        <w:rPr>
          <w:rFonts w:hint="eastAsia"/>
          <w:sz w:val="28"/>
          <w:szCs w:val="28"/>
        </w:rPr>
        <w:t>一、榆阳区养殖现状概述</w:t>
      </w:r>
    </w:p>
    <w:p>
      <w:pPr>
        <w:ind w:firstLine="560" w:firstLineChars="200"/>
        <w:rPr>
          <w:sz w:val="28"/>
          <w:szCs w:val="28"/>
        </w:rPr>
      </w:pPr>
      <w:r>
        <w:rPr>
          <w:rFonts w:hint="eastAsia"/>
          <w:sz w:val="28"/>
          <w:szCs w:val="28"/>
        </w:rPr>
        <w:t>2017年全区水产品总产量2525吨，约占榆林市的40%；渔业综合产值3千万元，占到本区大农业的10%。其中池塘养殖产量1954吨，水库养殖产量553吨，湖泊养殖产量18吨。全区水域滩涂养殖面积为36060.74亩，全部为淡水养殖，其中，池塘养殖面积为6103.16亩，水库养殖面积为28136.21亩，湖泊养殖面积为1821.37亩。现有养殖品种鲤、鲢、鳙、鲫、草、鲂、鲶、乌鳢等。</w:t>
      </w:r>
    </w:p>
    <w:p>
      <w:pPr>
        <w:ind w:firstLine="560" w:firstLineChars="200"/>
        <w:rPr>
          <w:sz w:val="28"/>
          <w:szCs w:val="28"/>
        </w:rPr>
      </w:pPr>
      <w:r>
        <w:rPr>
          <w:rFonts w:hint="eastAsia"/>
          <w:sz w:val="28"/>
          <w:szCs w:val="28"/>
        </w:rPr>
        <w:t>2017年水产品销售量和销售额为草鱼451吨、586.3万元，鲢鱼378吨、302.4万元，鳙鱼433吨、433.0万元，鲤鱼1193吨、1073.7万元，鲫鱼70吨、112.0万元。</w:t>
      </w:r>
    </w:p>
    <w:p>
      <w:r>
        <w:drawing>
          <wp:inline distT="0" distB="0" distL="114300" distR="114300">
            <wp:extent cx="5274310" cy="3791585"/>
            <wp:effectExtent l="0" t="0" r="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
        <w:drawing>
          <wp:inline distT="0" distB="0" distL="114300" distR="114300">
            <wp:extent cx="5274310" cy="3521075"/>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sz w:val="28"/>
          <w:szCs w:val="28"/>
        </w:rPr>
      </w:pPr>
      <w:r>
        <w:rPr>
          <w:rFonts w:hint="eastAsia"/>
          <w:sz w:val="28"/>
          <w:szCs w:val="28"/>
        </w:rPr>
        <w:t>二、榆阳区三大渔业主导产业现状</w:t>
      </w:r>
    </w:p>
    <w:p>
      <w:pPr>
        <w:rPr>
          <w:sz w:val="28"/>
          <w:szCs w:val="28"/>
        </w:rPr>
      </w:pPr>
      <w:r>
        <w:rPr>
          <w:rFonts w:hint="eastAsia"/>
          <w:sz w:val="28"/>
          <w:szCs w:val="28"/>
        </w:rPr>
        <w:t>1、草鱼鲢鱼大宗淡水鱼产业</w:t>
      </w:r>
    </w:p>
    <w:p>
      <w:pPr>
        <w:ind w:firstLine="560" w:firstLineChars="200"/>
        <w:rPr>
          <w:sz w:val="28"/>
          <w:szCs w:val="28"/>
        </w:rPr>
      </w:pPr>
      <w:r>
        <w:rPr>
          <w:rFonts w:hint="eastAsia"/>
          <w:sz w:val="28"/>
          <w:szCs w:val="28"/>
        </w:rPr>
        <w:t>从品种看，草鱼、鲢鱼等大宗淡水鱼产量约占全部产量的90%以上，特色品种约占10%。主要分布在长城沿线池塘、水库和小型湖泊。近年来，按照《国家无公害水产品养殖规范》，狠抓“无公害”水产品基地建设，从苗种、水质、饲料、病害防治等方面抓起，实施规范化养殖，标准化管理，市场化营销，大力发展了生态渔业和休闲渔业。</w:t>
      </w:r>
    </w:p>
    <w:p>
      <w:pPr>
        <w:rPr>
          <w:sz w:val="28"/>
          <w:szCs w:val="28"/>
        </w:rPr>
      </w:pPr>
      <w:r>
        <w:rPr>
          <w:rFonts w:hint="eastAsia"/>
          <w:sz w:val="28"/>
          <w:szCs w:val="28"/>
        </w:rPr>
        <w:t>2、名优特养殖产业</w:t>
      </w:r>
    </w:p>
    <w:p>
      <w:pPr>
        <w:ind w:firstLine="560" w:firstLineChars="200"/>
        <w:rPr>
          <w:sz w:val="28"/>
          <w:szCs w:val="28"/>
        </w:rPr>
      </w:pPr>
      <w:r>
        <w:rPr>
          <w:rFonts w:hint="eastAsia"/>
          <w:sz w:val="28"/>
          <w:szCs w:val="28"/>
        </w:rPr>
        <w:t>以渔业基地、无公害养殖基地、健康养殖示范基地为载体，以无公害水产品、绿色食品和有机水产品认证为手段，发展以团头鲂、斑点叉尾鮰、匙吻鲟、虹鳟、大鲵、螃蟹等名贵品种养殖为重点的特色养殖，做大做强水产品品牌。</w:t>
      </w:r>
    </w:p>
    <w:p>
      <w:pPr>
        <w:rPr>
          <w:sz w:val="28"/>
          <w:szCs w:val="28"/>
        </w:rPr>
      </w:pPr>
      <w:r>
        <w:rPr>
          <w:rFonts w:hint="eastAsia"/>
          <w:sz w:val="28"/>
          <w:szCs w:val="28"/>
        </w:rPr>
        <w:t>3、休闲渔业产业</w:t>
      </w:r>
    </w:p>
    <w:p>
      <w:pPr>
        <w:ind w:firstLine="560" w:firstLineChars="200"/>
        <w:rPr>
          <w:sz w:val="28"/>
          <w:szCs w:val="28"/>
        </w:rPr>
      </w:pPr>
      <w:r>
        <w:rPr>
          <w:rFonts w:hint="eastAsia"/>
          <w:sz w:val="28"/>
          <w:szCs w:val="28"/>
        </w:rPr>
        <w:t>因地制宜发展，结合农村产业结构调整，将鱼塘、风味餐饮结合，形成“住在水边，食有水鲜，观赏垂钓，健身休闲”的特色渔业，提高三产在渔业产业中的比重，在榆阳城郊结合周围旅游景点，综合开发水资源，形成水上运动、水上餐饮、水上观景、旅游度假等服务为一体的大型综合休闲渔业基地。垂钓、养殖及“渔家乐”休闲基地10个，休闲点20个左右，达到年接纳游客50万人次，休闲渔业产值达到2500万元。</w:t>
      </w:r>
    </w:p>
    <w:p>
      <w:pPr>
        <w:outlineLvl w:val="2"/>
        <w:rPr>
          <w:b/>
          <w:sz w:val="28"/>
          <w:szCs w:val="28"/>
        </w:rPr>
      </w:pPr>
      <w:bookmarkStart w:id="30" w:name="_Toc529609955"/>
      <w:bookmarkStart w:id="31" w:name="_Toc532809860"/>
      <w:r>
        <w:rPr>
          <w:rFonts w:hint="eastAsia"/>
          <w:b/>
          <w:sz w:val="28"/>
          <w:szCs w:val="28"/>
        </w:rPr>
        <w:t>第二条 区域经济发展方向</w:t>
      </w:r>
      <w:bookmarkEnd w:id="30"/>
      <w:bookmarkEnd w:id="31"/>
    </w:p>
    <w:p>
      <w:pPr>
        <w:rPr>
          <w:sz w:val="28"/>
          <w:szCs w:val="28"/>
        </w:rPr>
      </w:pPr>
      <w:r>
        <w:rPr>
          <w:rFonts w:hint="eastAsia"/>
          <w:sz w:val="28"/>
          <w:szCs w:val="28"/>
        </w:rPr>
        <w:t>一、区域优势</w:t>
      </w:r>
    </w:p>
    <w:p>
      <w:pPr>
        <w:ind w:firstLine="560" w:firstLineChars="200"/>
        <w:rPr>
          <w:sz w:val="28"/>
          <w:szCs w:val="28"/>
        </w:rPr>
      </w:pPr>
      <w:r>
        <w:rPr>
          <w:rFonts w:hint="eastAsia"/>
          <w:sz w:val="28"/>
          <w:szCs w:val="28"/>
        </w:rPr>
        <w:t>榆林地理环境特殊，地处中西部结合地带，位于陕甘宁蒙晋五省区交界之处，承接东西南北，北方游牧文化与中原农耕文化在这里相互交融，历史上这里边境贸易繁荣，是促进经济发展和商品流通的重要地区。</w:t>
      </w:r>
    </w:p>
    <w:p>
      <w:pPr>
        <w:ind w:firstLine="560" w:firstLineChars="200"/>
        <w:rPr>
          <w:sz w:val="28"/>
          <w:szCs w:val="28"/>
        </w:rPr>
      </w:pPr>
      <w:r>
        <w:rPr>
          <w:rFonts w:hint="eastAsia"/>
          <w:sz w:val="28"/>
          <w:szCs w:val="28"/>
        </w:rPr>
        <w:t>榆阳区位于陕西省北部，黄河晋陕峡谷以西，河套平原以东，明长城横穿东西，毛乌素沙漠边缘，是榆林市的政治、经济、文化中心，区位优势独特，地处呼包银榆“经济圈”、宁鄂榆能源“金三角”和陕甘宁革命老区等五大战略互叠区域，榆阳区境内有全市最大的航空站两个（榆林机场和镇川机场）；铁路2条（神延、包西）；高速公路5条（陕蒙、榆靖、榆神、榆绥、榆佳）；国道1条（G210）；省道2条（302省道、204省道）；过境线1条（G210）；至“十二五”末，公路总里程达到4908公里，基本形成了以高速公路为骨干，国、省道公路为支线，区、乡村公路“四通八达”，铁路为辅，航空为补充的交通网络。</w:t>
      </w:r>
    </w:p>
    <w:p>
      <w:pPr>
        <w:ind w:firstLine="560" w:firstLineChars="200"/>
        <w:rPr>
          <w:sz w:val="28"/>
          <w:szCs w:val="28"/>
        </w:rPr>
      </w:pPr>
      <w:r>
        <w:rPr>
          <w:rFonts w:hint="eastAsia"/>
          <w:sz w:val="28"/>
          <w:szCs w:val="28"/>
        </w:rPr>
        <w:t>《榆阳区国民经济和社会发展第十三个五年规划纲要》，进一步凸显榆阳生态、文化优势，有利于抓住国家“一带一路”建设带来的机遇，紧紧依托高速公路发展轴，建设更高层次开发开放平台，激发区域发展潜能，推动振兴崛起。“十三五”是榆阳区全面深化改革、加快创新发展和转型跨跃的关键时期。按照建设榆阳区域发展框架和渔业现代化建设和可持续发展的要求，为加快现代渔业产业体系建设，加大渔业资源和生态养护力度，培育渔业产业新业态和新模式，强化渔业服务支撑保障体系。</w:t>
      </w:r>
    </w:p>
    <w:p>
      <w:pPr>
        <w:rPr>
          <w:sz w:val="28"/>
          <w:szCs w:val="28"/>
        </w:rPr>
      </w:pPr>
      <w:r>
        <w:rPr>
          <w:rFonts w:hint="eastAsia"/>
          <w:sz w:val="28"/>
          <w:szCs w:val="28"/>
        </w:rPr>
        <w:t>二、产业结构</w:t>
      </w:r>
    </w:p>
    <w:p>
      <w:pPr>
        <w:ind w:firstLine="560" w:firstLineChars="200"/>
        <w:rPr>
          <w:sz w:val="28"/>
          <w:szCs w:val="28"/>
        </w:rPr>
      </w:pPr>
      <w:r>
        <w:rPr>
          <w:rFonts w:hint="eastAsia"/>
          <w:sz w:val="28"/>
          <w:szCs w:val="28"/>
        </w:rPr>
        <w:t>1、产业布局。全区基本形成以常规水产品种无公害养殖为基础，以名优特新水产品种养殖为特色，以突出地域特色拓展渔业经济增长空间的休闲渔业基地群。水产良种繁育、池塘工程化循环水设施渔业等产业正逐步推进。</w:t>
      </w:r>
    </w:p>
    <w:p>
      <w:pPr>
        <w:ind w:firstLine="560" w:firstLineChars="200"/>
        <w:rPr>
          <w:sz w:val="28"/>
          <w:szCs w:val="28"/>
        </w:rPr>
      </w:pPr>
      <w:r>
        <w:rPr>
          <w:rFonts w:hint="eastAsia"/>
          <w:sz w:val="28"/>
          <w:szCs w:val="28"/>
        </w:rPr>
        <w:t>2、品种结构。养殖品种包括草、鲢、鳙、鲤、鲫、鲂鱼、鲶鱼等10余种经济鱼类。池沼公鱼、锦鲤、南方大口鲶、斑点叉尾鲴、黄颡鱼、匙吻鲟、长丰鲢鱼、脆肉鲩、乌鳢、中华绒螯蟹、克氏原螯虾、南美白对虾、龟、鳖、大鲵等已成为地方养殖特色品种。</w:t>
      </w:r>
    </w:p>
    <w:p>
      <w:pPr>
        <w:ind w:firstLine="560" w:firstLineChars="200"/>
        <w:rPr>
          <w:sz w:val="28"/>
          <w:szCs w:val="28"/>
        </w:rPr>
      </w:pPr>
      <w:r>
        <w:rPr>
          <w:rFonts w:hint="eastAsia"/>
          <w:sz w:val="28"/>
          <w:szCs w:val="28"/>
        </w:rPr>
        <w:t>3、产品品质。全区水产品养殖无公害产地认定、产品认证、有机食品认证已逐步展开。创建农业部级健康养殖示范场1家。</w:t>
      </w:r>
    </w:p>
    <w:p>
      <w:pPr>
        <w:ind w:firstLine="560" w:firstLineChars="200"/>
        <w:rPr>
          <w:sz w:val="28"/>
          <w:szCs w:val="28"/>
        </w:rPr>
      </w:pPr>
      <w:r>
        <w:rPr>
          <w:rFonts w:hint="eastAsia"/>
          <w:sz w:val="28"/>
          <w:szCs w:val="28"/>
        </w:rPr>
        <w:t>4、产业组织化程度。全区规模性、集约化养殖公司6家，有水产品加工合作社2家，从事休闲渔业30家。</w:t>
      </w:r>
    </w:p>
    <w:p>
      <w:pPr>
        <w:rPr>
          <w:sz w:val="28"/>
          <w:szCs w:val="28"/>
        </w:rPr>
      </w:pPr>
      <w:r>
        <w:rPr>
          <w:rFonts w:hint="eastAsia"/>
          <w:sz w:val="28"/>
          <w:szCs w:val="28"/>
        </w:rPr>
        <w:t>三、发展方向</w:t>
      </w:r>
    </w:p>
    <w:p>
      <w:pPr>
        <w:ind w:firstLine="560" w:firstLineChars="200"/>
        <w:rPr>
          <w:sz w:val="28"/>
          <w:szCs w:val="28"/>
        </w:rPr>
      </w:pPr>
      <w:r>
        <w:rPr>
          <w:rFonts w:hint="eastAsia"/>
          <w:sz w:val="28"/>
          <w:szCs w:val="28"/>
        </w:rPr>
        <w:t>围绕农业部关于加快推进渔业转方式调结构的指导意见，加快推进渔业转型升级，科学划定各类养殖功能区，合理布局水产养殖生产，稳定基本养殖水域，保障渔民合法权益，保护水域生态环境，确保有效供给安全、环境生态安全和产品质量安全，实现提质增效、减量增收、绿色发展、富裕渔民的发展目标。</w:t>
      </w:r>
    </w:p>
    <w:p>
      <w:pPr>
        <w:ind w:firstLine="560" w:firstLineChars="200"/>
        <w:rPr>
          <w:sz w:val="28"/>
          <w:szCs w:val="28"/>
        </w:rPr>
      </w:pPr>
      <w:r>
        <w:rPr>
          <w:rFonts w:hint="eastAsia"/>
          <w:sz w:val="28"/>
          <w:szCs w:val="28"/>
        </w:rPr>
        <w:t>1、推进水产养殖转型升级。加快标准化水产养殖池塘建设与改造，建成标准化水产养殖示范基地。实施养殖池塘装备升级改造，有序推进工厂化、循环水设施化养殖，建成一批渔业循环水养殖示范基地。</w:t>
      </w:r>
    </w:p>
    <w:p>
      <w:pPr>
        <w:ind w:firstLine="560" w:firstLineChars="200"/>
        <w:rPr>
          <w:sz w:val="28"/>
          <w:szCs w:val="28"/>
        </w:rPr>
      </w:pPr>
      <w:r>
        <w:rPr>
          <w:rFonts w:hint="eastAsia"/>
          <w:sz w:val="28"/>
          <w:szCs w:val="28"/>
        </w:rPr>
        <w:t>2、引导一二三产业融合。培植一批消费引导型的水产品加工企业，促进水产品加工产业发展，延伸产业链条。推进建设服务完善、管理规范、辐射力强的水产品批发市场，培育水产品电商等网络交易平台，加快现代水产物流体系建设，实现产地市场和销地市场物流的有效对接。创建一批有规模、有特色、效益好、管理规范、带动能力强的地方休闲渔业示范基地。</w:t>
      </w:r>
    </w:p>
    <w:p>
      <w:pPr>
        <w:ind w:firstLine="560" w:firstLineChars="200"/>
        <w:rPr>
          <w:sz w:val="28"/>
          <w:szCs w:val="28"/>
        </w:rPr>
      </w:pPr>
      <w:r>
        <w:rPr>
          <w:rFonts w:hint="eastAsia"/>
          <w:sz w:val="28"/>
          <w:szCs w:val="28"/>
        </w:rPr>
        <w:t>3、优化调整养殖品种结构。重点发展池沼公鱼、乌鳢、中华绒螯蟹、克氏原螯虾、南美白对虾、中华鳖等名优水产品；工厂化养殖设施以推进池塘循环水设施渔业为重点发展方向，养殖品种以罗非鱼、加州鲈、泥鳅等特色种类为主。</w:t>
      </w:r>
    </w:p>
    <w:p>
      <w:pPr>
        <w:ind w:firstLine="560" w:firstLineChars="200"/>
        <w:rPr>
          <w:sz w:val="28"/>
          <w:szCs w:val="28"/>
        </w:rPr>
      </w:pPr>
      <w:r>
        <w:rPr>
          <w:rFonts w:hint="eastAsia"/>
          <w:sz w:val="28"/>
          <w:szCs w:val="28"/>
        </w:rPr>
        <w:t>4、加强品牌创建。打造“一鱼一品牌”，提高榆阳水产品知名度。通过开发绿色品牌，加快“三品一标”的认证，培育品牌经营主体，为创建品牌渔业打下良好的基础。</w:t>
      </w:r>
    </w:p>
    <w:p>
      <w:pPr>
        <w:ind w:firstLine="560" w:firstLineChars="200"/>
        <w:rPr>
          <w:sz w:val="28"/>
          <w:szCs w:val="28"/>
        </w:rPr>
      </w:pPr>
      <w:r>
        <w:rPr>
          <w:rFonts w:hint="eastAsia"/>
          <w:sz w:val="28"/>
          <w:szCs w:val="28"/>
        </w:rPr>
        <w:t>5、保护水产种质资源。以王圪堵水库为目标区域，以池沼公鱼为保护目标，创建池沼公鱼水产种质资源保护区，加强水生生物资源养护；以雪飞水产养殖场为基地，建设池沼公鱼水产原/良种场，做到原种保种、良种开发，增加种质储备，为榆溪河、无定河流域提供水产苗种。</w:t>
      </w:r>
    </w:p>
    <w:p>
      <w:pPr>
        <w:ind w:firstLine="560" w:firstLineChars="200"/>
        <w:rPr>
          <w:sz w:val="28"/>
          <w:szCs w:val="28"/>
        </w:rPr>
      </w:pPr>
      <w:r>
        <w:rPr>
          <w:rFonts w:hint="eastAsia"/>
          <w:sz w:val="28"/>
          <w:szCs w:val="28"/>
        </w:rPr>
        <w:t>池沼公鱼是冷水性小型洄游性鱼类，繁殖力强，生长周期短，营养丰富，味道鲜美，增殖见效快，效果好。在我国仅局限于东北的黑龙江中下游，乌苏里江、图们江下游有自然分布。2014年，榆阳区由东北地移植引种池沼公鱼发眼卵30万粒投放王圪堵水库，通过多年保护增殖，现已形成了能自然繁殖的稳定种群。</w:t>
      </w:r>
    </w:p>
    <w:p>
      <w:pPr>
        <w:outlineLvl w:val="2"/>
        <w:rPr>
          <w:b/>
          <w:sz w:val="28"/>
          <w:szCs w:val="28"/>
        </w:rPr>
      </w:pPr>
      <w:bookmarkStart w:id="32" w:name="_Toc529609956"/>
      <w:bookmarkStart w:id="33" w:name="_Toc532809861"/>
      <w:r>
        <w:rPr>
          <w:rFonts w:hint="eastAsia"/>
          <w:b/>
          <w:sz w:val="28"/>
          <w:szCs w:val="28"/>
        </w:rPr>
        <w:t>第三条 水产养殖前景预测</w:t>
      </w:r>
      <w:bookmarkEnd w:id="32"/>
      <w:bookmarkEnd w:id="33"/>
    </w:p>
    <w:p>
      <w:pPr>
        <w:rPr>
          <w:sz w:val="28"/>
          <w:szCs w:val="28"/>
        </w:rPr>
      </w:pPr>
      <w:r>
        <w:rPr>
          <w:rFonts w:hint="eastAsia"/>
          <w:sz w:val="28"/>
          <w:szCs w:val="28"/>
        </w:rPr>
        <w:t>一、发展潜力</w:t>
      </w:r>
    </w:p>
    <w:p>
      <w:pPr>
        <w:ind w:firstLine="560" w:firstLineChars="200"/>
        <w:rPr>
          <w:sz w:val="28"/>
          <w:szCs w:val="28"/>
        </w:rPr>
      </w:pPr>
      <w:r>
        <w:rPr>
          <w:rFonts w:hint="eastAsia"/>
          <w:sz w:val="28"/>
          <w:szCs w:val="28"/>
        </w:rPr>
        <w:t>1、政策环境持续向好。近年来，党和政府对“三农”问题的高度重视，对“三农”的扶持力度不断加大。特别是十七届三中全会提出的《关于推进农村改革发展若干重大问题的决定》指明了农业和农村改革发展的长期目标。</w:t>
      </w:r>
    </w:p>
    <w:p>
      <w:pPr>
        <w:ind w:firstLine="560" w:firstLineChars="200"/>
        <w:rPr>
          <w:sz w:val="28"/>
          <w:szCs w:val="28"/>
        </w:rPr>
      </w:pPr>
      <w:r>
        <w:rPr>
          <w:rFonts w:hint="eastAsia"/>
          <w:sz w:val="28"/>
          <w:szCs w:val="28"/>
        </w:rPr>
        <w:t>榆林市、榆阳区党委、政府对水产业发展的重视程度提高，出台扶持渔业发展政策措施，并把水产业发展做为全区农村产业结构调整中的一个新的亮点和农民增收的增长点。为水产业的发展提供了政策支持，也为招商引资提供了条件。</w:t>
      </w:r>
    </w:p>
    <w:p>
      <w:pPr>
        <w:ind w:firstLine="560" w:firstLineChars="200"/>
        <w:rPr>
          <w:sz w:val="28"/>
          <w:szCs w:val="28"/>
        </w:rPr>
      </w:pPr>
      <w:r>
        <w:rPr>
          <w:rFonts w:hint="eastAsia"/>
          <w:sz w:val="28"/>
          <w:szCs w:val="28"/>
        </w:rPr>
        <w:t>2、水域资源丰富。区内水库21座，总库容1.47亿m³，其中中型水库6座，小型水库15座，另有塘坝198个。全区渔业养殖面积达3.61万亩。随着榆阳区水产养殖业基础设施的改造与提升，为养殖增产增效拓展了发展空间。养殖池塘标准化改造等基础设施的建设，为进一步提升传统水产养殖业，拓展水产养殖的发展空间，增加产量和效益提供支撑。</w:t>
      </w:r>
    </w:p>
    <w:p>
      <w:pPr>
        <w:ind w:firstLine="560" w:firstLineChars="200"/>
        <w:rPr>
          <w:sz w:val="28"/>
          <w:szCs w:val="28"/>
        </w:rPr>
      </w:pPr>
      <w:r>
        <w:rPr>
          <w:rFonts w:hint="eastAsia"/>
          <w:sz w:val="28"/>
          <w:szCs w:val="28"/>
        </w:rPr>
        <w:t>3、产业提升广大。全区水产业发展虽已取得阶段性成效，但与发达地区相比，无论是在养殖模式、生产效益、产品加工还是市场流通等环节都存在很大差距。随着新技术的不断推广应用、发展方式的不断转变、产业化程度的不断提升，产业链条有延伸的空间。</w:t>
      </w:r>
    </w:p>
    <w:p>
      <w:pPr>
        <w:ind w:firstLine="560" w:firstLineChars="200"/>
        <w:rPr>
          <w:sz w:val="28"/>
          <w:szCs w:val="28"/>
        </w:rPr>
      </w:pPr>
      <w:r>
        <w:rPr>
          <w:rFonts w:hint="eastAsia"/>
          <w:sz w:val="28"/>
          <w:szCs w:val="28"/>
        </w:rPr>
        <w:t>4、市场消费发展潜力大。</w:t>
      </w:r>
    </w:p>
    <w:p>
      <w:pPr>
        <w:ind w:firstLine="560" w:firstLineChars="200"/>
        <w:rPr>
          <w:sz w:val="28"/>
          <w:szCs w:val="28"/>
        </w:rPr>
      </w:pPr>
      <w:r>
        <w:rPr>
          <w:rFonts w:hint="eastAsia"/>
          <w:sz w:val="28"/>
          <w:szCs w:val="28"/>
        </w:rPr>
        <w:t>我国水产品出口量和出口额近年来均出现不同程度的上涨，其中出口额增速较快，这主要是由于国际水产品价格上涨引起的。另外，我国国内市场的消耗量也在加大，沿海、沿江、珠三角、长三角一带是水产品主要市场，总体来看，我国是一个水产养殖为主的大国，在水产品方面实现了自给自足，并且出口大于进口，而进口的水产品仅为与我国水产品互补的产品。</w:t>
      </w:r>
    </w:p>
    <w:p>
      <w:pPr>
        <w:ind w:firstLine="560" w:firstLineChars="200"/>
        <w:rPr>
          <w:sz w:val="28"/>
          <w:szCs w:val="28"/>
        </w:rPr>
      </w:pPr>
      <w:r>
        <w:rPr>
          <w:rFonts w:hint="eastAsia"/>
          <w:sz w:val="28"/>
          <w:szCs w:val="28"/>
        </w:rPr>
        <w:t>榆阳区位于陕甘宁蒙晋五省区交界之处，随着现代渔业快速发展，人们生活水平不断提高和食品结构不断改善，人们对水产品品质的追求越来越高，尤其是高品质加工产品的需求日益增加，对优质新鲜、营养丰富的水产品的消费在不断上升。2017年全国人均水产品占有量为</w:t>
      </w:r>
      <w:r>
        <w:rPr>
          <w:sz w:val="28"/>
          <w:szCs w:val="28"/>
        </w:rPr>
        <w:t>46.37</w:t>
      </w:r>
      <w:r>
        <w:rPr>
          <w:rFonts w:hint="eastAsia"/>
          <w:sz w:val="28"/>
          <w:szCs w:val="28"/>
        </w:rPr>
        <w:t>公斤（2017年全国渔业经济统计公报）、陕西远远低于全国平均水平仅为4.25公斤（2017年陕西省国民经济和社会发展统计公报）。就陕西而言，若要达到全国人均水产品消费水平，水产品缺口很大，随着人们饮食结构的调整，水产品市场需求量越来越大，市场潜力越来越受到各界的重视，水产业具有广阔的市场发展空间和前景。</w:t>
      </w:r>
    </w:p>
    <w:p>
      <w:pPr>
        <w:ind w:firstLine="560" w:firstLineChars="200"/>
        <w:rPr>
          <w:sz w:val="28"/>
          <w:szCs w:val="28"/>
        </w:rPr>
      </w:pPr>
      <w:r>
        <w:rPr>
          <w:rFonts w:hint="eastAsia"/>
          <w:sz w:val="28"/>
          <w:szCs w:val="28"/>
        </w:rPr>
        <w:t>随着人口高峰、工业化高峰和城镇化高峰来临，耕地保护形势日趋严峻，粮食安全保障任务十分艰巨。水产养殖作为大农业的重要组成部分，在未来大粮食安全体系的构建中对保障人们食品的安全供给有着重要作用，因此，水产养殖业可以发挥更加重要的作用。随着经济的发展和居民生活水平的提高，水产品的消费结构也将趋于优质化、多样化，农村和中西部市场的开拓也将拉动常规水产品消费市场，也为水产养殖业的发展提供了更为广阔的市场。</w:t>
      </w:r>
    </w:p>
    <w:p>
      <w:pPr>
        <w:ind w:firstLine="560" w:firstLineChars="200"/>
        <w:rPr>
          <w:sz w:val="28"/>
          <w:szCs w:val="28"/>
        </w:rPr>
      </w:pPr>
      <w:r>
        <w:rPr>
          <w:rFonts w:hint="eastAsia"/>
          <w:sz w:val="28"/>
          <w:szCs w:val="28"/>
        </w:rPr>
        <w:t>5、比较效益优势。从渔业总体效益上看，虽然渔业比较效益有所下降，但是渔业总体生产效益仍然要高于种植业，具有发展优势。</w:t>
      </w:r>
    </w:p>
    <w:p>
      <w:pPr>
        <w:rPr>
          <w:sz w:val="28"/>
          <w:szCs w:val="28"/>
        </w:rPr>
      </w:pPr>
      <w:r>
        <w:rPr>
          <w:rFonts w:hint="eastAsia"/>
          <w:sz w:val="28"/>
          <w:szCs w:val="28"/>
        </w:rPr>
        <w:t>二、发展趋势</w:t>
      </w:r>
    </w:p>
    <w:p>
      <w:pPr>
        <w:ind w:firstLine="560" w:firstLineChars="200"/>
        <w:rPr>
          <w:sz w:val="28"/>
          <w:szCs w:val="28"/>
        </w:rPr>
      </w:pPr>
      <w:r>
        <w:rPr>
          <w:rFonts w:hint="eastAsia"/>
          <w:sz w:val="28"/>
          <w:szCs w:val="28"/>
        </w:rPr>
        <w:t>1、传统渔业向现代渔业转变。传统渔业的特点是具有较大分散性，生产设施落后，经营规模小，科技含量低；重数量，轻质量；以牺牲环境资源，甚至人类本身的健康来谋求发展。现代渔业注重集约化、工业化、智能化，其功能已由产品生产的单一功能向生产功能、生活功能和生态功能等多功能拓展，最终实现工业与渔业、城市与乡村的融合与协调发展。</w:t>
      </w:r>
    </w:p>
    <w:p>
      <w:pPr>
        <w:ind w:firstLine="560" w:firstLineChars="200"/>
        <w:rPr>
          <w:sz w:val="28"/>
          <w:szCs w:val="28"/>
        </w:rPr>
      </w:pPr>
      <w:r>
        <w:rPr>
          <w:rFonts w:hint="eastAsia"/>
          <w:sz w:val="28"/>
          <w:szCs w:val="28"/>
        </w:rPr>
        <w:t>2、水产品质量安全意识逐步增强。随着人们消费水平的提高，消费者消费心理已从数量型向质量型转型，对无公害、绿色及有机水产品需求日益增加。以资源节约型、环境友好型、健康养殖为内涵的无公害养殖及生态养殖将成为主要养殖方式，绿色、优质水产品将成为主流。在此形势下，加强水产品质量监督监测体系和水产养殖业生态环境监测体系的建设，加强水产品质量安全的监管，已转变成行业主管部门日常工作重点。</w:t>
      </w:r>
    </w:p>
    <w:p>
      <w:pPr>
        <w:ind w:firstLine="560" w:firstLineChars="200"/>
        <w:rPr>
          <w:sz w:val="28"/>
          <w:szCs w:val="28"/>
        </w:rPr>
      </w:pPr>
      <w:r>
        <w:rPr>
          <w:rFonts w:hint="eastAsia"/>
          <w:sz w:val="28"/>
          <w:szCs w:val="28"/>
        </w:rPr>
        <w:t>3、新型渔业经营主体不断发展壮大。千家万户的分散经营，经营规模小，科技含量低，抗风险能力差。渔业经营主体为应对市场的挑战，必须提高自身的竞争力，做大规模，做强品牌，做活管理。采用“公司＋基地＋养殖户”的经营模式，产学研一体化、产供销加工一条龙的抱团发展成为必然趋势。</w:t>
      </w:r>
    </w:p>
    <w:p>
      <w:pPr>
        <w:ind w:firstLine="560" w:firstLineChars="200"/>
        <w:rPr>
          <w:sz w:val="28"/>
          <w:szCs w:val="28"/>
        </w:rPr>
      </w:pPr>
      <w:r>
        <w:rPr>
          <w:rFonts w:hint="eastAsia"/>
          <w:sz w:val="28"/>
          <w:szCs w:val="28"/>
        </w:rPr>
        <w:t>4、大力发展设施渔业。今后，水产养殖业发展的目标是构建资源节约、环境友好、质量安全、可持续发展的现代水产养殖体系，随着各类新型经营主体发展壮大，社会各类资本的大量涌入，池塘流转并集，池塘工程化循环水设施渔业将得到快速发展。</w:t>
      </w:r>
    </w:p>
    <w:p>
      <w:pPr>
        <w:ind w:firstLine="560" w:firstLineChars="200"/>
        <w:rPr>
          <w:sz w:val="28"/>
          <w:szCs w:val="28"/>
        </w:rPr>
      </w:pPr>
      <w:r>
        <w:rPr>
          <w:rFonts w:hint="eastAsia"/>
          <w:sz w:val="28"/>
          <w:szCs w:val="28"/>
        </w:rPr>
        <w:t>5、生态优质水产品将迎来大发展。随着消费者对食品安全的重视，“无公害水产品”、“绿色水产品”、“有机水产品”等越来越受到消费者青睐，水产品的产量增幅将逐步放缓，转而重点增加无公害、绿色等高品质水产品比重，高效、绿色发展道路成为必然。</w:t>
      </w:r>
    </w:p>
    <w:p>
      <w:pPr>
        <w:ind w:firstLine="560" w:firstLineChars="200"/>
        <w:rPr>
          <w:sz w:val="28"/>
          <w:szCs w:val="28"/>
        </w:rPr>
      </w:pPr>
      <w:r>
        <w:rPr>
          <w:rFonts w:hint="eastAsia"/>
          <w:sz w:val="28"/>
          <w:szCs w:val="28"/>
        </w:rPr>
        <w:t>6、一二三产业融合发展。围绕养殖水域生态资源，打破单一养殖模式，形成集养殖、观光、旅游、休闲、垂钓、餐饮为一体的新型渔业产业模式。水产业与旅游、文化产业融合发展，成为渔业经济新的增长点和发展新趋势。</w:t>
      </w:r>
    </w:p>
    <w:p>
      <w:pPr>
        <w:rPr>
          <w:sz w:val="28"/>
          <w:szCs w:val="28"/>
        </w:rPr>
      </w:pPr>
      <w:r>
        <w:rPr>
          <w:rFonts w:hint="eastAsia"/>
          <w:sz w:val="28"/>
          <w:szCs w:val="28"/>
        </w:rPr>
        <w:t>三、养殖水域滩涂需求</w:t>
      </w:r>
    </w:p>
    <w:p>
      <w:pPr>
        <w:ind w:firstLine="560" w:firstLineChars="200"/>
        <w:rPr>
          <w:sz w:val="28"/>
          <w:szCs w:val="28"/>
        </w:rPr>
      </w:pPr>
      <w:r>
        <w:rPr>
          <w:rFonts w:hint="eastAsia"/>
          <w:sz w:val="28"/>
          <w:szCs w:val="28"/>
        </w:rPr>
        <w:t>根据全区水域滩涂承载力评价分析，当前在养殖水域滩涂规划和水产养殖产业发展中的主要需求，是形成养殖水域滩涂开发利用和保护的总体思路，合理安排产业发展空间。将饮用水水源地、湿地等重要生态保护区和湖库公共资源水域实行退限养。稳定发展池塘、坑塘养殖，因地制宜发展渔业，推进工厂及工程化循环水设施渔业发展。</w:t>
      </w:r>
    </w:p>
    <w:p>
      <w:pPr>
        <w:rPr>
          <w:sz w:val="28"/>
          <w:szCs w:val="28"/>
        </w:rPr>
      </w:pPr>
      <w:r>
        <w:rPr>
          <w:rFonts w:hint="eastAsia"/>
          <w:sz w:val="28"/>
          <w:szCs w:val="28"/>
        </w:rPr>
        <w:t>四、水产养殖产业发展预测</w:t>
      </w:r>
    </w:p>
    <w:p>
      <w:pPr>
        <w:ind w:firstLine="560" w:firstLineChars="200"/>
        <w:rPr>
          <w:sz w:val="28"/>
          <w:szCs w:val="28"/>
        </w:rPr>
      </w:pPr>
      <w:r>
        <w:rPr>
          <w:rFonts w:hint="eastAsia"/>
          <w:sz w:val="28"/>
          <w:szCs w:val="28"/>
        </w:rPr>
        <w:t>水产品产量增速趋缓，水产品质量快速提升。以池塘养殖为主体的水产养殖业，大幅增产潜力不大，今后将主要靠养殖品种、养殖模式的更新调整来提高效益。</w:t>
      </w:r>
    </w:p>
    <w:p>
      <w:pPr>
        <w:ind w:firstLine="560" w:firstLineChars="200"/>
        <w:rPr>
          <w:sz w:val="28"/>
          <w:szCs w:val="28"/>
        </w:rPr>
      </w:pPr>
      <w:r>
        <w:rPr>
          <w:rFonts w:hint="eastAsia"/>
          <w:sz w:val="28"/>
          <w:szCs w:val="28"/>
        </w:rPr>
        <w:t>环保意识增强，绿色水产品需求量大。水产品质量安全受到社会广泛关注，营养型、健康型水产品需求量大，健康养殖将成为水产养殖的发展方向。</w:t>
      </w:r>
    </w:p>
    <w:p>
      <w:pPr>
        <w:ind w:firstLine="560" w:firstLineChars="200"/>
        <w:rPr>
          <w:sz w:val="28"/>
          <w:szCs w:val="28"/>
        </w:rPr>
      </w:pPr>
      <w:r>
        <w:rPr>
          <w:rFonts w:hint="eastAsia"/>
          <w:sz w:val="28"/>
          <w:szCs w:val="28"/>
        </w:rPr>
        <w:t>养殖理念变革更新，水产业效益提升。随着绿色产品认证、食品市场准入制度的实施，促使从业者更新养殖理念，创新养殖方式，发展现代养殖，从而提升养殖业整体素质，促进水产业经济效益增长。</w:t>
      </w:r>
    </w:p>
    <w:p>
      <w:pPr>
        <w:ind w:firstLine="560" w:firstLineChars="200"/>
        <w:rPr>
          <w:sz w:val="28"/>
          <w:szCs w:val="28"/>
        </w:rPr>
      </w:pPr>
      <w:r>
        <w:rPr>
          <w:rFonts w:hint="eastAsia"/>
          <w:sz w:val="28"/>
          <w:szCs w:val="28"/>
        </w:rPr>
        <w:t>市场需求旺盛，水产业前景广阔。随着水产品加工工艺的更新，人民生活水平的提高，名特优新水产品需求量越来越大，其市场需求将持续旺盛。</w:t>
      </w:r>
    </w:p>
    <w:p>
      <w:pPr>
        <w:spacing w:beforeLines="50" w:afterLines="50"/>
        <w:outlineLvl w:val="1"/>
        <w:rPr>
          <w:b/>
          <w:sz w:val="30"/>
          <w:szCs w:val="30"/>
        </w:rPr>
      </w:pPr>
      <w:bookmarkStart w:id="34" w:name="_Toc529609957"/>
      <w:bookmarkStart w:id="35" w:name="_Toc532809862"/>
      <w:r>
        <w:rPr>
          <w:rFonts w:hint="eastAsia"/>
          <w:b/>
          <w:sz w:val="30"/>
          <w:szCs w:val="30"/>
        </w:rPr>
        <w:t>第八节 养殖水域滩涂开发总体思路</w:t>
      </w:r>
      <w:bookmarkEnd w:id="34"/>
      <w:bookmarkEnd w:id="35"/>
    </w:p>
    <w:p>
      <w:pPr>
        <w:rPr>
          <w:sz w:val="28"/>
          <w:szCs w:val="28"/>
        </w:rPr>
      </w:pPr>
      <w:r>
        <w:rPr>
          <w:rFonts w:hint="eastAsia"/>
          <w:sz w:val="28"/>
          <w:szCs w:val="28"/>
        </w:rPr>
        <w:t>一、指导思想</w:t>
      </w:r>
    </w:p>
    <w:p>
      <w:pPr>
        <w:ind w:firstLine="560" w:firstLineChars="200"/>
        <w:rPr>
          <w:sz w:val="28"/>
          <w:szCs w:val="28"/>
        </w:rPr>
      </w:pPr>
      <w:r>
        <w:rPr>
          <w:rFonts w:hint="eastAsia"/>
          <w:sz w:val="28"/>
          <w:szCs w:val="28"/>
        </w:rPr>
        <w:t>根据市场经济发展和国家渔业战略方针要求，对本区水域滩涂进行科学规化，合理布局。按照“尊重历史、照顾现实，一次规划、分步实施以及因地制宜、发挥优势”的原则，对所有养殖功能区的养殖规模、密度进行控制和管理。妥善处理水产养殖资源利用和保护的关系，依法保护和改善养殖水域生态环境；大力推广水产健康养殖模式，对不符合区域布局规划及养殖密度较大的养殖场所进行调整；鼓励养殖区转移至水体交换条件好、环境优良水域，防止区部水域养殖密度超过环境容量和养殖容量限度，为促进全区水产业的可持续发展提供科学依据。</w:t>
      </w:r>
    </w:p>
    <w:p>
      <w:pPr>
        <w:rPr>
          <w:sz w:val="28"/>
          <w:szCs w:val="28"/>
        </w:rPr>
      </w:pPr>
      <w:r>
        <w:rPr>
          <w:rFonts w:hint="eastAsia"/>
          <w:sz w:val="28"/>
          <w:szCs w:val="28"/>
        </w:rPr>
        <w:t>二、科学划定</w:t>
      </w:r>
    </w:p>
    <w:p>
      <w:pPr>
        <w:ind w:firstLine="560" w:firstLineChars="200"/>
        <w:rPr>
          <w:sz w:val="28"/>
          <w:szCs w:val="28"/>
        </w:rPr>
      </w:pPr>
      <w:r>
        <w:rPr>
          <w:rFonts w:hint="eastAsia"/>
          <w:sz w:val="28"/>
          <w:szCs w:val="28"/>
        </w:rPr>
        <w:t>根据榆阳区水域滩涂承载力评价、水产养殖业基础特点，按照“划分三区、界定清晰、管控有力”的养殖水域滩涂开发的总体思路，规划为禁止养殖区、限制养殖区和养殖区等三个功能区。</w:t>
      </w:r>
    </w:p>
    <w:p>
      <w:pPr>
        <w:rPr>
          <w:sz w:val="28"/>
          <w:szCs w:val="28"/>
        </w:rPr>
      </w:pPr>
      <w:r>
        <w:rPr>
          <w:rFonts w:hint="eastAsia"/>
          <w:sz w:val="28"/>
          <w:szCs w:val="28"/>
        </w:rPr>
        <w:t>（一）禁止养殖区</w:t>
      </w:r>
    </w:p>
    <w:p>
      <w:pPr>
        <w:ind w:firstLine="560" w:firstLineChars="200"/>
        <w:rPr>
          <w:sz w:val="28"/>
          <w:szCs w:val="28"/>
        </w:rPr>
      </w:pPr>
      <w:r>
        <w:rPr>
          <w:rFonts w:hint="eastAsia"/>
          <w:sz w:val="28"/>
          <w:szCs w:val="28"/>
        </w:rPr>
        <w:t>为了有效保护养殖水域滩涂范围内的生态安全和产品质量安全，将属于养殖水域的重点生态功能区域划为禁止养殖区，从而保证本地环境生态安全；将公共设施安全区域划为禁止养殖区，从而保证有效供给安全；将污染水体划为禁止养殖区，从而保证产品质量安全。</w:t>
      </w:r>
    </w:p>
    <w:p>
      <w:pPr>
        <w:rPr>
          <w:sz w:val="28"/>
          <w:szCs w:val="28"/>
        </w:rPr>
      </w:pPr>
      <w:r>
        <w:rPr>
          <w:rFonts w:hint="eastAsia"/>
          <w:sz w:val="28"/>
          <w:szCs w:val="28"/>
        </w:rPr>
        <w:t>（二）限制养殖区</w:t>
      </w:r>
    </w:p>
    <w:p>
      <w:pPr>
        <w:ind w:firstLine="560" w:firstLineChars="200"/>
        <w:rPr>
          <w:sz w:val="28"/>
          <w:szCs w:val="28"/>
        </w:rPr>
      </w:pPr>
      <w:r>
        <w:rPr>
          <w:rFonts w:hint="eastAsia"/>
          <w:sz w:val="28"/>
          <w:szCs w:val="28"/>
        </w:rPr>
        <w:t>限制养殖区内遵循“生态优先，底线约束”的原则，严格控制水产养殖规模，将非重点生态功能区和公共自然水域划为限制养殖区。针对不同养殖品种和模式采用不同的管控手段，并进行污染防控，使得污染物排放不超过国家或地方规定的污染物排放标准，在保证生态环境安全的前提下，合理安排水产养殖业发展空间。</w:t>
      </w:r>
    </w:p>
    <w:p>
      <w:pPr>
        <w:rPr>
          <w:sz w:val="28"/>
          <w:szCs w:val="28"/>
        </w:rPr>
      </w:pPr>
      <w:r>
        <w:rPr>
          <w:rFonts w:hint="eastAsia"/>
          <w:sz w:val="28"/>
          <w:szCs w:val="28"/>
        </w:rPr>
        <w:t>（三）养殖区</w:t>
      </w:r>
    </w:p>
    <w:p>
      <w:pPr>
        <w:ind w:firstLine="560" w:firstLineChars="200"/>
        <w:rPr>
          <w:sz w:val="28"/>
          <w:szCs w:val="28"/>
        </w:rPr>
      </w:pPr>
      <w:r>
        <w:rPr>
          <w:rFonts w:hint="eastAsia"/>
          <w:sz w:val="28"/>
          <w:szCs w:val="28"/>
        </w:rPr>
        <w:t>除了将现有合法养殖区域纳入养殖区外，在不与其他法律法规和专项规划矛盾冲突的基础上，将具有或兼有养殖功能的区域纳入养殖区规划面积。养殖区内稳定陆地和池塘养殖，调减网箱围栏养殖，发展生态循环综合养殖和循环水养殖，实现养殖水域滩涂的整体规划、合理储备、有序利用、协调发展。</w:t>
      </w:r>
    </w:p>
    <w:p>
      <w:pPr>
        <w:rPr>
          <w:sz w:val="28"/>
          <w:szCs w:val="28"/>
        </w:rPr>
      </w:pPr>
      <w:r>
        <w:rPr>
          <w:rFonts w:hint="eastAsia"/>
          <w:sz w:val="28"/>
          <w:szCs w:val="28"/>
        </w:rPr>
        <w:t>三、总体思路</w:t>
      </w:r>
    </w:p>
    <w:p>
      <w:pPr>
        <w:ind w:firstLine="560" w:firstLineChars="200"/>
        <w:rPr>
          <w:sz w:val="28"/>
          <w:szCs w:val="28"/>
        </w:rPr>
      </w:pPr>
      <w:r>
        <w:rPr>
          <w:rFonts w:hint="eastAsia"/>
          <w:sz w:val="28"/>
          <w:szCs w:val="28"/>
        </w:rPr>
        <w:t>根据国家农业农村部“我国渔业的主要矛盾已经转化为人民对优质安全水产品和优美水域生态环境的需求，与水产品供给结构性矛盾突出和渔业对资源环境过度利用之间的矛盾”的科学论断。按照优质、高效、安全及资源保护与开发利用相结合，本着养殖环境友好、生态文明的发展思路，对养殖水域滩涂进行科学规划，提高养殖水域利用率，为加快完善和推进养殖管理制度建设，促进水产养殖业全面、协调、可持续发展提供科学依据。</w:t>
      </w:r>
    </w:p>
    <w:p>
      <w:pPr>
        <w:ind w:firstLine="560" w:firstLineChars="200"/>
        <w:rPr>
          <w:sz w:val="28"/>
          <w:szCs w:val="28"/>
        </w:rPr>
      </w:pPr>
      <w:r>
        <w:rPr>
          <w:rFonts w:hint="eastAsia"/>
          <w:sz w:val="28"/>
          <w:szCs w:val="28"/>
        </w:rPr>
        <w:t>总体思路：在本区水域滩涂资源环境容量和养殖容量所允许范围内，对全区渔业结构进行战略调整，将全区养殖面积确定在4万亩以内。一要引导全区渔农向优质高效型产业化方向发展；二要改造建设高产精养渔塘，提高水产良种配套生产能力，促进名优水产品健康养殖生产；三是渔业发展与当地环境承载力相适应，避免因渔业生产造成水体污染和资源衰退。</w:t>
      </w:r>
    </w:p>
    <w:p>
      <w:pPr>
        <w:ind w:firstLine="560" w:firstLineChars="200"/>
        <w:rPr>
          <w:sz w:val="28"/>
          <w:szCs w:val="28"/>
        </w:rPr>
      </w:pPr>
      <w:r>
        <w:rPr>
          <w:rFonts w:hint="eastAsia"/>
          <w:sz w:val="28"/>
          <w:szCs w:val="28"/>
        </w:rPr>
        <w:t>具体开发思路：以农业（渔业）供给侧结构性改革为主线，牢固树立绿色发展理念，以保障水产品有效供给和“三大安全”（渔业生态安全、水产品质量安全、渔业生产安全）为核心，以渔业增效和渔民增收为目标，坚持量水兴渔的发展原则，在稳定现有养殖生产的基础上，因地制宜大力发展水利渔业、特色冷水渔业、休闲渔业、智慧渔业，进一步加强水生生物资源养护，大力推进渔业基础设施建设和技术装备升级改造，提高水域产出率、资源利用率和劳动生产率，依靠科技进步促进渔业经济增长方式转变，实现提质增效、减量增收、绿色发展、富裕渔民的发展总目标。努力把榆阳区打造成独具特色的资源节约型、环境友好型生态渔业生产基地，实现渔业跨越式发展。</w:t>
      </w:r>
    </w:p>
    <w:p>
      <w:pPr>
        <w:ind w:firstLine="560" w:firstLineChars="200"/>
        <w:rPr>
          <w:sz w:val="28"/>
          <w:szCs w:val="28"/>
        </w:rPr>
      </w:pPr>
      <w:r>
        <w:rPr>
          <w:rFonts w:hint="eastAsia"/>
          <w:sz w:val="28"/>
          <w:szCs w:val="28"/>
        </w:rPr>
        <w:t>基本目标：确立水产养殖业在本区国民经济中的骨干产业地位，从2017年起到2030年，全区水产品产量平均每年以4.5%的幅度递增，总产量达到4500吨/年，其中名优水产品占30%以上；渔业综合产值达8000万元；渔民平均收入达到3万元；人均水产品占有量达7公斤以上。</w:t>
      </w:r>
    </w:p>
    <w:p>
      <w:pPr>
        <w:rPr>
          <w:sz w:val="28"/>
          <w:szCs w:val="28"/>
        </w:rPr>
      </w:pPr>
    </w:p>
    <w:p>
      <w:pPr>
        <w:rPr>
          <w:sz w:val="28"/>
          <w:szCs w:val="28"/>
        </w:rPr>
        <w:sectPr>
          <w:pgSz w:w="11906" w:h="16838"/>
          <w:pgMar w:top="1440" w:right="1800" w:bottom="1440" w:left="1800" w:header="851" w:footer="992" w:gutter="0"/>
          <w:cols w:space="720" w:num="1"/>
          <w:docGrid w:type="lines" w:linePitch="312" w:charSpace="0"/>
        </w:sectPr>
      </w:pPr>
    </w:p>
    <w:p>
      <w:pPr>
        <w:spacing w:beforeLines="100" w:afterLines="100"/>
        <w:jc w:val="center"/>
        <w:outlineLvl w:val="0"/>
        <w:rPr>
          <w:rFonts w:ascii="黑体" w:eastAsia="黑体"/>
          <w:sz w:val="32"/>
          <w:szCs w:val="32"/>
        </w:rPr>
      </w:pPr>
      <w:bookmarkStart w:id="36" w:name="_Toc532809863"/>
      <w:bookmarkStart w:id="37" w:name="_Toc529609958"/>
      <w:r>
        <w:rPr>
          <w:rFonts w:hint="eastAsia" w:ascii="黑体" w:eastAsia="黑体"/>
          <w:sz w:val="32"/>
          <w:szCs w:val="32"/>
        </w:rPr>
        <w:t>第三章  养殖水域滩涂功能区划</w:t>
      </w:r>
      <w:bookmarkEnd w:id="36"/>
      <w:bookmarkEnd w:id="37"/>
    </w:p>
    <w:p>
      <w:pPr>
        <w:spacing w:beforeLines="50" w:afterLines="50"/>
        <w:outlineLvl w:val="1"/>
        <w:rPr>
          <w:b/>
          <w:sz w:val="30"/>
          <w:szCs w:val="30"/>
        </w:rPr>
      </w:pPr>
      <w:bookmarkStart w:id="38" w:name="_Toc529609959"/>
      <w:bookmarkStart w:id="39" w:name="_Toc532809864"/>
      <w:r>
        <w:rPr>
          <w:rFonts w:hint="eastAsia"/>
          <w:b/>
          <w:sz w:val="30"/>
          <w:szCs w:val="30"/>
        </w:rPr>
        <w:t>第九节 功能区划概述</w:t>
      </w:r>
      <w:bookmarkEnd w:id="38"/>
      <w:bookmarkEnd w:id="39"/>
    </w:p>
    <w:p>
      <w:pPr>
        <w:ind w:firstLine="560" w:firstLineChars="200"/>
        <w:rPr>
          <w:sz w:val="28"/>
          <w:szCs w:val="28"/>
        </w:rPr>
      </w:pPr>
      <w:r>
        <w:rPr>
          <w:rFonts w:hint="eastAsia"/>
          <w:sz w:val="28"/>
          <w:szCs w:val="28"/>
        </w:rPr>
        <w:t>养殖水域滩涂功能区分为禁止养殖区、限制养殖区、养殖区等三大类，详见附表1。</w:t>
      </w:r>
    </w:p>
    <w:p>
      <w:pPr>
        <w:rPr>
          <w:sz w:val="28"/>
          <w:szCs w:val="28"/>
        </w:rPr>
      </w:pPr>
      <w:r>
        <w:rPr>
          <w:rFonts w:hint="eastAsia"/>
          <w:sz w:val="28"/>
          <w:szCs w:val="28"/>
        </w:rPr>
        <w:t>一、禁止养殖区</w:t>
      </w:r>
    </w:p>
    <w:p>
      <w:pPr>
        <w:ind w:firstLine="560" w:firstLineChars="200"/>
        <w:rPr>
          <w:sz w:val="28"/>
          <w:szCs w:val="28"/>
        </w:rPr>
      </w:pPr>
      <w:r>
        <w:rPr>
          <w:rFonts w:hint="eastAsia"/>
          <w:sz w:val="28"/>
          <w:szCs w:val="28"/>
        </w:rPr>
        <w:t>（1）禁止在饮用水水源地一级保护区、自然保护区核心区和缓冲区、国家级水产种质资源保护区核心区等重点生态功能区开展水产养殖；</w:t>
      </w:r>
    </w:p>
    <w:p>
      <w:pPr>
        <w:ind w:firstLine="560" w:firstLineChars="200"/>
        <w:rPr>
          <w:sz w:val="28"/>
          <w:szCs w:val="28"/>
        </w:rPr>
      </w:pPr>
      <w:r>
        <w:rPr>
          <w:rFonts w:hint="eastAsia"/>
          <w:sz w:val="28"/>
          <w:szCs w:val="28"/>
        </w:rPr>
        <w:t>（2）禁止在港口、航道、行洪区、河道堤防安全保护区等公共设施安全区域开展水产养殖；</w:t>
      </w:r>
    </w:p>
    <w:p>
      <w:pPr>
        <w:ind w:firstLine="560" w:firstLineChars="200"/>
        <w:rPr>
          <w:sz w:val="28"/>
          <w:szCs w:val="28"/>
        </w:rPr>
      </w:pPr>
      <w:r>
        <w:rPr>
          <w:rFonts w:hint="eastAsia"/>
          <w:sz w:val="28"/>
          <w:szCs w:val="28"/>
        </w:rPr>
        <w:t>（3）禁止在有毒有害物质超过规定标准的水体开展水产养殖；</w:t>
      </w:r>
    </w:p>
    <w:p>
      <w:pPr>
        <w:ind w:firstLine="560" w:firstLineChars="200"/>
        <w:rPr>
          <w:sz w:val="28"/>
          <w:szCs w:val="28"/>
        </w:rPr>
      </w:pPr>
      <w:r>
        <w:rPr>
          <w:rFonts w:hint="eastAsia"/>
          <w:sz w:val="28"/>
          <w:szCs w:val="28"/>
        </w:rPr>
        <w:t>（4）法律法规规定的其他禁止从事水产养殖的区域。</w:t>
      </w:r>
    </w:p>
    <w:p>
      <w:pPr>
        <w:rPr>
          <w:sz w:val="28"/>
          <w:szCs w:val="28"/>
        </w:rPr>
      </w:pPr>
      <w:r>
        <w:rPr>
          <w:rFonts w:hint="eastAsia"/>
          <w:sz w:val="28"/>
          <w:szCs w:val="28"/>
        </w:rPr>
        <w:t>二、限制养殖区</w:t>
      </w:r>
    </w:p>
    <w:p>
      <w:pPr>
        <w:ind w:firstLine="560" w:firstLineChars="200"/>
        <w:rPr>
          <w:sz w:val="28"/>
          <w:szCs w:val="28"/>
        </w:rPr>
      </w:pPr>
      <w:r>
        <w:rPr>
          <w:rFonts w:hint="eastAsia"/>
          <w:sz w:val="28"/>
          <w:szCs w:val="28"/>
        </w:rPr>
        <w:t>（1）限制在饮用水水源二级保护区、自然保护区实验区和外围保护地带、国家级水产种质资源保护区实验区、风景名胜区等生态功能区开展水产养殖，在以上区域内进行水产养殖的应采取污染防治措施，污染物排放不得超过国家和地方规定的污染物排放标准；</w:t>
      </w:r>
    </w:p>
    <w:p>
      <w:pPr>
        <w:ind w:firstLine="560" w:firstLineChars="200"/>
        <w:rPr>
          <w:sz w:val="28"/>
          <w:szCs w:val="28"/>
        </w:rPr>
      </w:pPr>
      <w:r>
        <w:rPr>
          <w:rFonts w:hint="eastAsia"/>
          <w:sz w:val="28"/>
          <w:szCs w:val="28"/>
        </w:rPr>
        <w:t>（2）限制在重点湖泊水库等公共自然水域开展网箱围栏养殖。重点湖泊水库饲养滤食性鱼类的网箱围栏总面积不超过水域面积的1%，饲养吃食性鱼类的网箱围栏总面积不超过水域面积的0.25%。应根据养殖水域滩涂生态保护实际需要确定重点湖泊水库，确定不高于农业部标准的本地区可养比例；</w:t>
      </w:r>
    </w:p>
    <w:p>
      <w:pPr>
        <w:ind w:firstLine="560" w:firstLineChars="200"/>
        <w:rPr>
          <w:sz w:val="28"/>
          <w:szCs w:val="28"/>
        </w:rPr>
      </w:pPr>
      <w:r>
        <w:rPr>
          <w:rFonts w:hint="eastAsia"/>
          <w:sz w:val="28"/>
          <w:szCs w:val="28"/>
        </w:rPr>
        <w:t>（3）法律法规规定的其他限制养殖区。</w:t>
      </w:r>
    </w:p>
    <w:p>
      <w:pPr>
        <w:rPr>
          <w:sz w:val="28"/>
          <w:szCs w:val="28"/>
        </w:rPr>
      </w:pPr>
      <w:r>
        <w:rPr>
          <w:rFonts w:hint="eastAsia"/>
          <w:sz w:val="28"/>
          <w:szCs w:val="28"/>
        </w:rPr>
        <w:t>三、养殖区</w:t>
      </w:r>
    </w:p>
    <w:p>
      <w:pPr>
        <w:ind w:firstLine="560" w:firstLineChars="200"/>
        <w:rPr>
          <w:sz w:val="28"/>
          <w:szCs w:val="28"/>
        </w:rPr>
      </w:pPr>
      <w:r>
        <w:rPr>
          <w:rFonts w:hint="eastAsia"/>
          <w:sz w:val="28"/>
          <w:szCs w:val="28"/>
        </w:rPr>
        <w:t>指除禁养区、限养区以外水域，适合水产养殖的区域。养殖区包括池塘养殖区、湖泊养殖区、水库养殖区和稻田综合种养区。池塘养殖包括淡水池塘养殖和工厂化设施养殖等，湖泊水库养殖包括网箱养殖、围栏养殖和大水面生态养殖等，稻田综合种养包括稻田综合种养和低洼盐碱地养殖等。在养殖区内从事水产养殖的，应当遵守国家环境保护管理的规定、遵循水产健康养殖和水产品质量安全管理的要求，开展水域环境和水产品质量安全影响评价，其污染防治措施和养殖废水排放应符合有关规定和要求。</w:t>
      </w:r>
    </w:p>
    <w:p>
      <w:pPr>
        <w:spacing w:beforeLines="50" w:afterLines="50"/>
        <w:outlineLvl w:val="1"/>
        <w:rPr>
          <w:b/>
          <w:sz w:val="30"/>
          <w:szCs w:val="30"/>
        </w:rPr>
      </w:pPr>
      <w:bookmarkStart w:id="40" w:name="_Toc532809865"/>
      <w:bookmarkStart w:id="41" w:name="_Toc529609960"/>
      <w:r>
        <w:rPr>
          <w:rFonts w:hint="eastAsia"/>
          <w:b/>
          <w:sz w:val="30"/>
          <w:szCs w:val="30"/>
        </w:rPr>
        <w:t>第十节 禁止养殖区</w:t>
      </w:r>
      <w:bookmarkEnd w:id="40"/>
      <w:bookmarkEnd w:id="41"/>
    </w:p>
    <w:p>
      <w:pPr>
        <w:ind w:firstLine="560" w:firstLineChars="200"/>
        <w:rPr>
          <w:sz w:val="28"/>
          <w:szCs w:val="28"/>
          <w:highlight w:val="yellow"/>
        </w:rPr>
      </w:pPr>
      <w:r>
        <w:rPr>
          <w:rFonts w:hint="eastAsia"/>
          <w:sz w:val="28"/>
          <w:szCs w:val="28"/>
        </w:rPr>
        <w:t>榆阳区禁止养殖区规划面积为16426.79亩，其中水源地水库7455.18亩、湿地8971.61亩。禁止养殖区共计7个区块，分布于长城路街道办事处（4个）、红石桥乡（1个）、青云镇（1个）、鱼河镇（1个）。</w:t>
      </w:r>
    </w:p>
    <w:p>
      <w:pPr>
        <w:ind w:firstLine="560" w:firstLineChars="200"/>
        <w:rPr>
          <w:sz w:val="28"/>
          <w:szCs w:val="28"/>
        </w:rPr>
      </w:pPr>
      <w:r>
        <w:rPr>
          <w:rFonts w:hint="eastAsia"/>
          <w:sz w:val="28"/>
          <w:szCs w:val="28"/>
        </w:rPr>
        <w:t>包括红石峡饮用水水源地一级保护区、尤家峁饮用水水源地一级保护区、王圪堵水库、榆阳泉饮用水源地一级保护区、普惠泉饮用水源地一级保护区、榆溪河湿地等。</w:t>
      </w:r>
    </w:p>
    <w:p>
      <w:pPr>
        <w:ind w:firstLine="560" w:firstLineChars="200"/>
        <w:rPr>
          <w:sz w:val="28"/>
          <w:szCs w:val="28"/>
        </w:rPr>
      </w:pPr>
      <w:r>
        <w:rPr>
          <w:rFonts w:hint="eastAsia"/>
          <w:sz w:val="28"/>
          <w:szCs w:val="28"/>
        </w:rPr>
        <w:t>红石峡饮用水水源地一级保护区：水库多年平均水位对应的高程线以下的全部水域；头道河则入库口至头道河则上游1400m（原S204省道跨河桥下）的以西的水域以及榆溪河入库口至榆溪河干流上游2900m处（延神铁路跨河大桥下）以南的水域，水域宽度为多年平均水位对应的高程线以下的水域。一级保护区总面积1221.92亩。</w:t>
      </w:r>
    </w:p>
    <w:p>
      <w:pPr>
        <w:ind w:firstLine="560" w:firstLineChars="200"/>
        <w:rPr>
          <w:sz w:val="28"/>
          <w:szCs w:val="28"/>
        </w:rPr>
      </w:pPr>
      <w:r>
        <w:rPr>
          <w:rFonts w:hint="eastAsia"/>
          <w:sz w:val="28"/>
          <w:szCs w:val="28"/>
        </w:rPr>
        <w:t>尤家峁饮用水水源地一级保护区：正常水位线（1094.25m）以下全部水域，水库正常水位线外延200m的陆域范围（不超过分水岭），面积为1789.06亩。</w:t>
      </w:r>
    </w:p>
    <w:p>
      <w:pPr>
        <w:ind w:firstLine="560" w:firstLineChars="200"/>
        <w:rPr>
          <w:sz w:val="28"/>
          <w:szCs w:val="28"/>
        </w:rPr>
      </w:pPr>
      <w:r>
        <w:rPr>
          <w:rFonts w:hint="eastAsia"/>
          <w:sz w:val="28"/>
          <w:szCs w:val="28"/>
        </w:rPr>
        <w:t>王圪堵水库：正常水位线以下全部水域，王圪堵水库榆阳区所占面积4244.08亩，见榆林市榆阳区土地利用总体规划图所标注区域。</w:t>
      </w:r>
    </w:p>
    <w:p>
      <w:pPr>
        <w:ind w:firstLine="560" w:firstLineChars="200"/>
        <w:rPr>
          <w:sz w:val="28"/>
          <w:szCs w:val="28"/>
        </w:rPr>
      </w:pPr>
      <w:r>
        <w:rPr>
          <w:rFonts w:hint="eastAsia"/>
          <w:sz w:val="28"/>
          <w:szCs w:val="28"/>
        </w:rPr>
        <w:t>榆阳泉饮用水源地一级保护区：以泉眼为中心，半径200m划圆，保护区面积188.37亩。</w:t>
      </w:r>
    </w:p>
    <w:p>
      <w:pPr>
        <w:ind w:firstLine="560" w:firstLineChars="200"/>
        <w:rPr>
          <w:sz w:val="28"/>
          <w:szCs w:val="28"/>
        </w:rPr>
      </w:pPr>
      <w:r>
        <w:rPr>
          <w:rFonts w:hint="eastAsia"/>
          <w:sz w:val="28"/>
          <w:szCs w:val="28"/>
        </w:rPr>
        <w:t>普惠泉饮用水源地一级保护区：以泉眼为中心，半径50m划圆，保护区面积11.75亩。</w:t>
      </w:r>
    </w:p>
    <w:p>
      <w:pPr>
        <w:ind w:firstLine="560" w:firstLineChars="200"/>
        <w:rPr>
          <w:sz w:val="28"/>
          <w:szCs w:val="28"/>
        </w:rPr>
      </w:pPr>
      <w:r>
        <w:rPr>
          <w:rFonts w:hint="eastAsia"/>
          <w:sz w:val="28"/>
          <w:szCs w:val="28"/>
        </w:rPr>
        <w:t>榆阳榆溪河湿地：从榆阳区小壕兔乡刀兔村到鱼河镇，沿榆溪河至榆溪河与无定河交汇处，包括河道、河滩、泛洪区及河道两岸1km范围内的人工湿地。面积8971.61亩。（源自《陕西省重要湿地名录》，2008）</w:t>
      </w:r>
    </w:p>
    <w:p>
      <w:pPr>
        <w:ind w:firstLine="560" w:firstLineChars="200"/>
        <w:rPr>
          <w:sz w:val="28"/>
          <w:szCs w:val="28"/>
        </w:rPr>
      </w:pPr>
      <w:r>
        <w:rPr>
          <w:rFonts w:hint="eastAsia"/>
          <w:sz w:val="28"/>
          <w:szCs w:val="28"/>
        </w:rPr>
        <w:t>禁止养殖区内的水产养殖，由区人民政府及相关部门负责限期搬迁或关停。禁止养殖区内重点生态功能区和公共设施安全区域划定前已有的水产养殖，搬迁或关停造成养殖生产者经济损失的应依法给予补偿。</w:t>
      </w:r>
    </w:p>
    <w:p>
      <w:pPr>
        <w:spacing w:beforeLines="50" w:afterLines="50"/>
        <w:outlineLvl w:val="1"/>
        <w:rPr>
          <w:b/>
          <w:sz w:val="30"/>
          <w:szCs w:val="30"/>
        </w:rPr>
      </w:pPr>
      <w:bookmarkStart w:id="42" w:name="_Toc532809866"/>
      <w:bookmarkStart w:id="43" w:name="_Toc529609961"/>
      <w:r>
        <w:rPr>
          <w:rFonts w:hint="eastAsia"/>
          <w:b/>
          <w:sz w:val="30"/>
          <w:szCs w:val="30"/>
        </w:rPr>
        <w:t>第十一节 限制养殖区</w:t>
      </w:r>
      <w:bookmarkEnd w:id="42"/>
      <w:bookmarkEnd w:id="43"/>
    </w:p>
    <w:p>
      <w:pPr>
        <w:ind w:firstLine="560" w:firstLineChars="200"/>
        <w:rPr>
          <w:sz w:val="28"/>
          <w:szCs w:val="28"/>
        </w:rPr>
      </w:pPr>
      <w:r>
        <w:rPr>
          <w:rFonts w:hint="eastAsia"/>
          <w:sz w:val="28"/>
          <w:szCs w:val="28"/>
        </w:rPr>
        <w:t>榆阳区限制养殖区规划面积为21171</w:t>
      </w:r>
      <w:r>
        <w:rPr>
          <w:rFonts w:hint="eastAsia"/>
          <w:sz w:val="28"/>
          <w:szCs w:val="28"/>
          <w:lang w:val="en-US" w:eastAsia="zh-CN"/>
        </w:rPr>
        <w:t>.</w:t>
      </w:r>
      <w:r>
        <w:rPr>
          <w:rFonts w:hint="eastAsia"/>
          <w:sz w:val="28"/>
          <w:szCs w:val="28"/>
        </w:rPr>
        <w:t>19亩，均为水库。限制养殖区中的水库养殖面积为实际规划面积的1%。限制养殖区共计8个区块，分布于长城路街道办事处（3个）、青云镇（1个）、孟家湾乡（2个）、牛家梁镇（1个）、岔河则乡（1个）。</w:t>
      </w:r>
    </w:p>
    <w:p>
      <w:pPr>
        <w:ind w:firstLine="560" w:firstLineChars="200"/>
        <w:rPr>
          <w:sz w:val="28"/>
          <w:szCs w:val="28"/>
        </w:rPr>
      </w:pPr>
      <w:r>
        <w:rPr>
          <w:rFonts w:hint="eastAsia"/>
          <w:sz w:val="28"/>
          <w:szCs w:val="28"/>
        </w:rPr>
        <w:t>包括红石峡饮用水水源地二级保护区、尤家峁饮用水水源地二级保护区、榆阳泉饮用水源地二级保护区、普惠泉饮用水源地二级保护区、中营盘水库、李家梁水库、石峁水库、河口水库湿地等。</w:t>
      </w:r>
    </w:p>
    <w:p>
      <w:pPr>
        <w:ind w:firstLine="560" w:firstLineChars="200"/>
        <w:rPr>
          <w:sz w:val="28"/>
          <w:szCs w:val="28"/>
        </w:rPr>
      </w:pPr>
      <w:r>
        <w:rPr>
          <w:rFonts w:hint="eastAsia"/>
          <w:sz w:val="28"/>
          <w:szCs w:val="28"/>
        </w:rPr>
        <w:t>红石峡饮用水水源地二级保护区：水库右岸，一级保护区边界以外南至红石峡森林公园中心道路以北，一级保护区外600m的范围，西至榆林大道的交汇处；以榆林大道向北至与西包铁路交汇处为起点，沿西包铁路向北1700m，西包铁路及集装站东界以东的区域。水库左岸，一级保护区边界以外沿环库道路至与榆西路相交处以北，沿榆西路北至吴家梁村道路以西的区域。二级保护区总面积1477.85亩。</w:t>
      </w:r>
    </w:p>
    <w:p>
      <w:pPr>
        <w:ind w:firstLine="560" w:firstLineChars="200"/>
        <w:rPr>
          <w:sz w:val="28"/>
          <w:szCs w:val="28"/>
        </w:rPr>
      </w:pPr>
      <w:r>
        <w:rPr>
          <w:rFonts w:hint="eastAsia"/>
          <w:sz w:val="28"/>
          <w:szCs w:val="28"/>
        </w:rPr>
        <w:t>尤家峁饮用水水源地二级保护区：将尤家峁水库一级保护区边界外延200m的陆域范围（不超过分水岭），面积为3499.91亩。</w:t>
      </w:r>
    </w:p>
    <w:p>
      <w:pPr>
        <w:ind w:firstLine="560" w:firstLineChars="200"/>
        <w:rPr>
          <w:sz w:val="28"/>
          <w:szCs w:val="28"/>
        </w:rPr>
      </w:pPr>
      <w:r>
        <w:rPr>
          <w:rFonts w:hint="eastAsia"/>
          <w:sz w:val="28"/>
          <w:szCs w:val="28"/>
        </w:rPr>
        <w:t>榆阳泉饮用水源地二级保护区：以泉眼为中心，取半径2000m划圆，保护区面积18659.90亩。</w:t>
      </w:r>
    </w:p>
    <w:p>
      <w:pPr>
        <w:ind w:firstLine="560" w:firstLineChars="200"/>
        <w:rPr>
          <w:sz w:val="28"/>
          <w:szCs w:val="28"/>
        </w:rPr>
      </w:pPr>
      <w:r>
        <w:rPr>
          <w:rFonts w:hint="eastAsia"/>
          <w:sz w:val="28"/>
          <w:szCs w:val="28"/>
        </w:rPr>
        <w:t>普惠泉饮用水源地二级保护区：以泉眼为中心，取半径300m，划圆，保护区面积412.18亩。</w:t>
      </w:r>
    </w:p>
    <w:p>
      <w:pPr>
        <w:ind w:firstLine="560" w:firstLineChars="200"/>
        <w:rPr>
          <w:sz w:val="28"/>
          <w:szCs w:val="28"/>
        </w:rPr>
      </w:pPr>
      <w:r>
        <w:rPr>
          <w:rFonts w:hint="eastAsia"/>
          <w:sz w:val="28"/>
          <w:szCs w:val="28"/>
        </w:rPr>
        <w:t>中营盘水库：位于孟家湾乡中营盘村，无定河水系榆溪河支流的五道河则上，距榆林城北45km，由榆东渠管理处管理。面积2356.38亩。水库1970年始建，1972年10月建成，控制流域面积 606.7km，是一座以防洪、灌溉为主，兼顾养鱼、发电、治沙等综合利用的年调节中型水库。中营盘水库常流量0.8m</w:t>
      </w:r>
      <w:r>
        <w:rPr>
          <w:rFonts w:hint="eastAsia"/>
          <w:sz w:val="28"/>
          <w:szCs w:val="28"/>
          <w:vertAlign w:val="superscript"/>
        </w:rPr>
        <w:t>3</w:t>
      </w:r>
      <w:r>
        <w:rPr>
          <w:rFonts w:hint="eastAsia"/>
          <w:sz w:val="28"/>
          <w:szCs w:val="28"/>
        </w:rPr>
        <w:t>/s。径流总量3672万m</w:t>
      </w:r>
      <w:r>
        <w:rPr>
          <w:rFonts w:hint="eastAsia"/>
          <w:sz w:val="28"/>
          <w:szCs w:val="28"/>
          <w:vertAlign w:val="superscript"/>
        </w:rPr>
        <w:t>3</w:t>
      </w:r>
      <w:r>
        <w:rPr>
          <w:rFonts w:hint="eastAsia"/>
          <w:sz w:val="28"/>
          <w:szCs w:val="28"/>
        </w:rPr>
        <w:t>，年均出库水量2900万m</w:t>
      </w:r>
      <w:r>
        <w:rPr>
          <w:rFonts w:hint="eastAsia"/>
          <w:sz w:val="28"/>
          <w:szCs w:val="28"/>
          <w:vertAlign w:val="superscript"/>
        </w:rPr>
        <w:t>3</w:t>
      </w:r>
      <w:r>
        <w:rPr>
          <w:rFonts w:hint="eastAsia"/>
          <w:sz w:val="28"/>
          <w:szCs w:val="28"/>
        </w:rPr>
        <w:t>。水库不仅保证了榆东渠1.0万亩农田灌溉用水，每年还为下游补水3300——800万m</w:t>
      </w:r>
      <w:r>
        <w:rPr>
          <w:rFonts w:hint="eastAsia"/>
          <w:sz w:val="28"/>
          <w:szCs w:val="28"/>
          <w:vertAlign w:val="superscript"/>
        </w:rPr>
        <w:t>3</w:t>
      </w:r>
      <w:r>
        <w:rPr>
          <w:rFonts w:hint="eastAsia"/>
          <w:sz w:val="28"/>
          <w:szCs w:val="28"/>
        </w:rPr>
        <w:t>，同时保证了水库至红石峡40km河堤沿河2万亩农田以及红石峡水库的防洪安全。</w:t>
      </w:r>
    </w:p>
    <w:p>
      <w:pPr>
        <w:ind w:firstLine="560" w:firstLineChars="200"/>
        <w:rPr>
          <w:sz w:val="28"/>
          <w:szCs w:val="28"/>
        </w:rPr>
      </w:pPr>
      <w:r>
        <w:rPr>
          <w:rFonts w:hint="eastAsia"/>
          <w:sz w:val="28"/>
          <w:szCs w:val="28"/>
        </w:rPr>
        <w:t>李家梁水库：位于榆林城北40公里处的孟家湾曹家梁村，地处无定河流域的榆溪河右岸一级支流的圪求河下游河段。面积2855.46亩。圪求河沟道常流量1.68 m</w:t>
      </w:r>
      <w:r>
        <w:rPr>
          <w:rFonts w:hint="eastAsia"/>
          <w:sz w:val="28"/>
          <w:szCs w:val="28"/>
          <w:vertAlign w:val="superscript"/>
        </w:rPr>
        <w:t>3</w:t>
      </w:r>
      <w:r>
        <w:rPr>
          <w:rFonts w:hint="eastAsia"/>
          <w:sz w:val="28"/>
          <w:szCs w:val="28"/>
        </w:rPr>
        <w:t>/s，多年平均径流量为5257万m</w:t>
      </w:r>
      <w:r>
        <w:rPr>
          <w:rFonts w:hint="eastAsia"/>
          <w:sz w:val="28"/>
          <w:szCs w:val="28"/>
          <w:vertAlign w:val="superscript"/>
        </w:rPr>
        <w:t>3</w:t>
      </w:r>
      <w:r>
        <w:rPr>
          <w:rFonts w:hint="eastAsia"/>
          <w:sz w:val="28"/>
          <w:szCs w:val="28"/>
        </w:rPr>
        <w:t>。水库坝址以上控制流域面积848 km</w:t>
      </w:r>
      <w:r>
        <w:rPr>
          <w:rFonts w:hint="eastAsia"/>
          <w:sz w:val="28"/>
          <w:szCs w:val="28"/>
          <w:vertAlign w:val="superscript"/>
        </w:rPr>
        <w:t>2</w:t>
      </w:r>
      <w:r>
        <w:rPr>
          <w:rFonts w:hint="eastAsia"/>
          <w:sz w:val="28"/>
          <w:szCs w:val="28"/>
        </w:rPr>
        <w:t>，属固定和半固定沙丘地形地貌，多为闭流区。李家梁水库是一座以工农业供水为主，兼顾城市供水，防洪和养殖等综合利用的中型水利枢纽工程。设计可调节供水3000万m</w:t>
      </w:r>
      <w:r>
        <w:rPr>
          <w:rFonts w:hint="eastAsia"/>
          <w:sz w:val="28"/>
          <w:szCs w:val="28"/>
          <w:vertAlign w:val="superscript"/>
        </w:rPr>
        <w:t>3</w:t>
      </w:r>
      <w:r>
        <w:rPr>
          <w:rFonts w:hint="eastAsia"/>
          <w:sz w:val="28"/>
          <w:szCs w:val="28"/>
        </w:rPr>
        <w:t>，现已向银河电厂日供水1.73 m</w:t>
      </w:r>
      <w:r>
        <w:rPr>
          <w:rFonts w:hint="eastAsia"/>
          <w:sz w:val="28"/>
          <w:szCs w:val="28"/>
          <w:vertAlign w:val="superscript"/>
        </w:rPr>
        <w:t>3</w:t>
      </w:r>
      <w:r>
        <w:rPr>
          <w:rFonts w:hint="eastAsia"/>
          <w:sz w:val="28"/>
          <w:szCs w:val="28"/>
        </w:rPr>
        <w:t>。水库总库容2340万m</w:t>
      </w:r>
      <w:r>
        <w:rPr>
          <w:rFonts w:hint="eastAsia"/>
          <w:sz w:val="28"/>
          <w:szCs w:val="28"/>
          <w:vertAlign w:val="superscript"/>
        </w:rPr>
        <w:t>3</w:t>
      </w:r>
      <w:r>
        <w:rPr>
          <w:rFonts w:hint="eastAsia"/>
          <w:sz w:val="28"/>
          <w:szCs w:val="28"/>
        </w:rPr>
        <w:t>，校核洪水位1168 m，兴利库容1690 万m</w:t>
      </w:r>
      <w:r>
        <w:rPr>
          <w:rFonts w:hint="eastAsia"/>
          <w:sz w:val="28"/>
          <w:szCs w:val="28"/>
          <w:vertAlign w:val="superscript"/>
        </w:rPr>
        <w:t>3</w:t>
      </w:r>
      <w:r>
        <w:rPr>
          <w:rFonts w:hint="eastAsia"/>
          <w:sz w:val="28"/>
          <w:szCs w:val="28"/>
        </w:rPr>
        <w:t>，兴利水位1167 m，死库容450万m</w:t>
      </w:r>
      <w:r>
        <w:rPr>
          <w:rFonts w:hint="eastAsia"/>
          <w:sz w:val="28"/>
          <w:szCs w:val="28"/>
          <w:vertAlign w:val="superscript"/>
        </w:rPr>
        <w:t>3</w:t>
      </w:r>
      <w:r>
        <w:rPr>
          <w:rFonts w:hint="eastAsia"/>
          <w:sz w:val="28"/>
          <w:szCs w:val="28"/>
        </w:rPr>
        <w:t>，死水位1157.3 m。</w:t>
      </w:r>
    </w:p>
    <w:p>
      <w:pPr>
        <w:ind w:firstLine="560" w:firstLineChars="200"/>
        <w:rPr>
          <w:sz w:val="28"/>
          <w:szCs w:val="28"/>
        </w:rPr>
      </w:pPr>
      <w:r>
        <w:rPr>
          <w:rFonts w:hint="eastAsia"/>
          <w:sz w:val="28"/>
          <w:szCs w:val="28"/>
        </w:rPr>
        <w:t>石峁水库：位于牛家梁镇石峁村，榆溪河支流头道河则上，距榆林城东25 km。面积1367.30亩。水库1958年兴建，1961年10月建成，流域面积142 km</w:t>
      </w:r>
      <w:r>
        <w:rPr>
          <w:rFonts w:hint="eastAsia"/>
          <w:sz w:val="28"/>
          <w:szCs w:val="28"/>
          <w:vertAlign w:val="superscript"/>
        </w:rPr>
        <w:t>2</w:t>
      </w:r>
      <w:r>
        <w:rPr>
          <w:rFonts w:hint="eastAsia"/>
          <w:sz w:val="28"/>
          <w:szCs w:val="28"/>
        </w:rPr>
        <w:t>，实际控制流域面积111 km</w:t>
      </w:r>
      <w:r>
        <w:rPr>
          <w:rFonts w:hint="eastAsia"/>
          <w:sz w:val="28"/>
          <w:szCs w:val="28"/>
          <w:vertAlign w:val="superscript"/>
        </w:rPr>
        <w:t>2</w:t>
      </w:r>
      <w:r>
        <w:rPr>
          <w:rFonts w:hint="eastAsia"/>
          <w:sz w:val="28"/>
          <w:szCs w:val="28"/>
        </w:rPr>
        <w:t>，是一座以防洪、拦沙为主，兼顾灌溉、养殖等综合利用的中型水库。水库总库容1400万m</w:t>
      </w:r>
      <w:r>
        <w:rPr>
          <w:rFonts w:hint="eastAsia"/>
          <w:sz w:val="28"/>
          <w:szCs w:val="28"/>
          <w:vertAlign w:val="superscript"/>
        </w:rPr>
        <w:t>3</w:t>
      </w:r>
      <w:r>
        <w:rPr>
          <w:rFonts w:hint="eastAsia"/>
          <w:sz w:val="28"/>
          <w:szCs w:val="28"/>
        </w:rPr>
        <w:t>，校核洪水位1169.62 m，防洪库容量650万m</w:t>
      </w:r>
      <w:r>
        <w:rPr>
          <w:rFonts w:hint="eastAsia"/>
          <w:sz w:val="28"/>
          <w:szCs w:val="28"/>
          <w:vertAlign w:val="superscript"/>
        </w:rPr>
        <w:t>3</w:t>
      </w:r>
      <w:r>
        <w:rPr>
          <w:rFonts w:hint="eastAsia"/>
          <w:sz w:val="28"/>
          <w:szCs w:val="28"/>
        </w:rPr>
        <w:t>，正常蓄水位1164.7 m，有效库容530万m</w:t>
      </w:r>
      <w:r>
        <w:rPr>
          <w:rFonts w:hint="eastAsia"/>
          <w:sz w:val="28"/>
          <w:szCs w:val="28"/>
          <w:vertAlign w:val="superscript"/>
        </w:rPr>
        <w:t>3</w:t>
      </w:r>
      <w:r>
        <w:rPr>
          <w:rFonts w:hint="eastAsia"/>
          <w:sz w:val="28"/>
          <w:szCs w:val="28"/>
        </w:rPr>
        <w:t>，死水位1157.20 m，死库容220万m</w:t>
      </w:r>
      <w:r>
        <w:rPr>
          <w:rFonts w:hint="eastAsia"/>
          <w:sz w:val="28"/>
          <w:szCs w:val="28"/>
          <w:vertAlign w:val="superscript"/>
        </w:rPr>
        <w:t>3</w:t>
      </w:r>
      <w:r>
        <w:rPr>
          <w:rFonts w:hint="eastAsia"/>
          <w:sz w:val="28"/>
          <w:szCs w:val="28"/>
        </w:rPr>
        <w:t>。水库现淤积泥沙980万m</w:t>
      </w:r>
      <w:r>
        <w:rPr>
          <w:rFonts w:hint="eastAsia"/>
          <w:sz w:val="28"/>
          <w:szCs w:val="28"/>
          <w:vertAlign w:val="superscript"/>
        </w:rPr>
        <w:t>3</w:t>
      </w:r>
      <w:r>
        <w:rPr>
          <w:rFonts w:hint="eastAsia"/>
          <w:sz w:val="28"/>
          <w:szCs w:val="28"/>
        </w:rPr>
        <w:t>，现坝前淤泥面高程1166.29 m。石峁水库年均径流总量1990万m</w:t>
      </w:r>
      <w:r>
        <w:rPr>
          <w:rFonts w:hint="eastAsia"/>
          <w:sz w:val="28"/>
          <w:szCs w:val="28"/>
          <w:vertAlign w:val="superscript"/>
        </w:rPr>
        <w:t>3</w:t>
      </w:r>
      <w:r>
        <w:rPr>
          <w:rFonts w:hint="eastAsia"/>
          <w:sz w:val="28"/>
          <w:szCs w:val="28"/>
        </w:rPr>
        <w:t>，径流量0.63 m</w:t>
      </w:r>
      <w:r>
        <w:rPr>
          <w:rFonts w:hint="eastAsia"/>
          <w:sz w:val="28"/>
          <w:szCs w:val="28"/>
          <w:vertAlign w:val="superscript"/>
        </w:rPr>
        <w:t>3</w:t>
      </w:r>
      <w:r>
        <w:rPr>
          <w:rFonts w:hint="eastAsia"/>
          <w:sz w:val="28"/>
          <w:szCs w:val="28"/>
        </w:rPr>
        <w:t>/s，是基泰阳光发电公司供水水源地。</w:t>
      </w:r>
    </w:p>
    <w:p>
      <w:pPr>
        <w:ind w:firstLine="560" w:firstLineChars="200"/>
        <w:rPr>
          <w:sz w:val="28"/>
          <w:szCs w:val="28"/>
        </w:rPr>
      </w:pPr>
      <w:r>
        <w:rPr>
          <w:rFonts w:hint="eastAsia"/>
          <w:sz w:val="28"/>
          <w:szCs w:val="28"/>
        </w:rPr>
        <w:t>榆阳河口水库湿地：位于岔河则乡河口村，无定河水系榆溪河支流的河上。从榆阳区岔河则乡河口到打拉石，包括水库水面及周边500m范围内的沼泽地。面积14592.00亩。（源自《陕西省重要湿地名录》，2008）</w:t>
      </w:r>
    </w:p>
    <w:p>
      <w:pPr>
        <w:ind w:firstLine="560" w:firstLineChars="200"/>
        <w:rPr>
          <w:sz w:val="28"/>
          <w:szCs w:val="28"/>
        </w:rPr>
      </w:pPr>
      <w:r>
        <w:rPr>
          <w:rFonts w:hint="eastAsia"/>
          <w:sz w:val="28"/>
          <w:szCs w:val="28"/>
        </w:rPr>
        <w:t>限制养殖区内不得在开放性水域施用化肥和有机肥养鱼。池塘养殖须建设尾水处理设施，排放的尾水污染物达到国家和省标准或者养殖用水循环使用。限制养殖区内重点生态功能区和公共设施安全区域划定前已有的水产养殖，搬迁或关停造成养殖生产者经济损失的应依法给予补偿。限制养殖区内的水产养殖，污染物排放标准超过国家或地方规定的污染物排放标准的，限期整改，整改后仍不达标的，由本级人民政府及相关部门负责关停。</w:t>
      </w:r>
    </w:p>
    <w:p>
      <w:pPr>
        <w:spacing w:beforeLines="50" w:afterLines="50"/>
        <w:outlineLvl w:val="1"/>
        <w:rPr>
          <w:b/>
          <w:sz w:val="30"/>
          <w:szCs w:val="30"/>
        </w:rPr>
      </w:pPr>
      <w:bookmarkStart w:id="44" w:name="_Toc529609962"/>
      <w:bookmarkStart w:id="45" w:name="_Toc532809867"/>
      <w:r>
        <w:rPr>
          <w:rFonts w:hint="eastAsia"/>
          <w:b/>
          <w:sz w:val="30"/>
          <w:szCs w:val="30"/>
        </w:rPr>
        <w:t>第十二节 养殖区</w:t>
      </w:r>
      <w:bookmarkEnd w:id="44"/>
      <w:bookmarkEnd w:id="45"/>
    </w:p>
    <w:p>
      <w:pPr>
        <w:rPr>
          <w:sz w:val="28"/>
          <w:szCs w:val="28"/>
        </w:rPr>
      </w:pPr>
      <w:r>
        <w:rPr>
          <w:rFonts w:hint="eastAsia"/>
          <w:sz w:val="28"/>
          <w:szCs w:val="28"/>
        </w:rPr>
        <w:t>一、养殖区规划</w:t>
      </w:r>
    </w:p>
    <w:p>
      <w:pPr>
        <w:ind w:firstLine="560" w:firstLineChars="200"/>
        <w:rPr>
          <w:sz w:val="28"/>
          <w:szCs w:val="28"/>
        </w:rPr>
      </w:pPr>
      <w:r>
        <w:rPr>
          <w:rFonts w:hint="eastAsia"/>
          <w:sz w:val="28"/>
          <w:szCs w:val="28"/>
        </w:rPr>
        <w:t>榆阳区养殖区规划面积为14889.55亩，其中，池塘6103.16亩、湖泊1821.37亩、水库6965.02亩。养殖区共计178个区块，分布于巴拉素镇2个；补浪河乡3个；安崖办事处1个；岔河则乡11个；长城路办事处1个；大河塔镇2个；古塔镇4个；红石桥乡1个；金鸡滩镇3个；刘千河办事处12个；麻黄梁镇36个；马合镇2个；孟家湾乡48个；牛家梁镇23个；清泉办事处2个；上盐湾镇2个；小壕兔乡9个；小纪汗乡8个；鱼河镇4个；鱼河峁镇3个；余兴庄办事处1个。</w:t>
      </w:r>
    </w:p>
    <w:p>
      <w:pPr>
        <w:ind w:firstLine="560" w:firstLineChars="200"/>
        <w:rPr>
          <w:sz w:val="28"/>
          <w:szCs w:val="28"/>
        </w:rPr>
      </w:pPr>
      <w:r>
        <w:rPr>
          <w:rFonts w:hint="eastAsia"/>
          <w:sz w:val="28"/>
          <w:szCs w:val="28"/>
        </w:rPr>
        <w:t>其中池塘：巴拉素镇2个；补浪河乡1个；岔河则乡11个；长城路办事处1个；古塔镇4个；金鸡滩镇2个；刘千河办事处1个；麻黄梁镇16个；马合镇2个；孟家湾乡44个；牛家梁镇21个；清泉办事处1个；小壕兔乡6个；小纪汗乡8个。湖泊：金鸡滩镇1个；孟家湾乡1个；小壕兔乡3个。水库：补浪河乡2个；安崖办事处1个；大河塔镇2个；红石桥乡1个；刘千河办事处11个；麻黄梁镇20个；孟家湾乡3个；牛家梁镇2个；清泉办事处1个；上盐湾镇2个；鱼河镇4个；鱼河峁镇3个；余兴庄办事处1个。</w:t>
      </w:r>
    </w:p>
    <w:p>
      <w:pPr>
        <w:rPr>
          <w:sz w:val="28"/>
          <w:szCs w:val="28"/>
        </w:rPr>
      </w:pPr>
      <w:r>
        <w:rPr>
          <w:rFonts w:hint="eastAsia"/>
          <w:sz w:val="28"/>
          <w:szCs w:val="28"/>
        </w:rPr>
        <w:t>二、产业布局</w:t>
      </w:r>
    </w:p>
    <w:p>
      <w:pPr>
        <w:ind w:firstLine="560" w:firstLineChars="200"/>
        <w:rPr>
          <w:sz w:val="28"/>
          <w:szCs w:val="28"/>
        </w:rPr>
      </w:pPr>
      <w:r>
        <w:rPr>
          <w:rFonts w:hint="eastAsia"/>
          <w:sz w:val="28"/>
          <w:szCs w:val="28"/>
        </w:rPr>
        <w:t>榆阳区渔业水域资源主要有河流、湖泊、水库、池塘、稻田等。</w:t>
      </w:r>
    </w:p>
    <w:p>
      <w:pPr>
        <w:ind w:firstLine="560" w:firstLineChars="200"/>
        <w:rPr>
          <w:sz w:val="28"/>
          <w:szCs w:val="28"/>
        </w:rPr>
      </w:pPr>
      <w:r>
        <w:rPr>
          <w:rFonts w:hint="eastAsia"/>
          <w:sz w:val="28"/>
          <w:szCs w:val="28"/>
        </w:rPr>
        <w:t>依据水域分布特点，以牛家梁镇为代表的4个北线乡镇（王则湾、刀则湾、转龙湾、孟家湾）及镇川、清泉为代表的2个南线乡镇为轴线。以标准化池塘精养、特色养殖、小型水库精养、苗种繁育、休闲渔业为一体的渔业产业。初步形成了长城沿线草食性鱼类和虾蟹优势产区、榆溪河无公害水产品主产区、小型库坝生态养殖区、城郊休闲渔业区等各具特色的渔业生产区域，螃蟹、南美白对虾等一些名特养殖品种也陆续开展。</w:t>
      </w:r>
    </w:p>
    <w:p>
      <w:pPr>
        <w:ind w:firstLine="560" w:firstLineChars="200"/>
        <w:rPr>
          <w:sz w:val="28"/>
          <w:szCs w:val="28"/>
        </w:rPr>
      </w:pPr>
      <w:r>
        <w:rPr>
          <w:rFonts w:hint="eastAsia"/>
          <w:sz w:val="28"/>
          <w:szCs w:val="28"/>
        </w:rPr>
        <w:t>（一）渔业一产板块</w:t>
      </w:r>
    </w:p>
    <w:p>
      <w:pPr>
        <w:ind w:firstLine="560" w:firstLineChars="200"/>
        <w:rPr>
          <w:sz w:val="28"/>
          <w:szCs w:val="28"/>
        </w:rPr>
      </w:pPr>
      <w:r>
        <w:rPr>
          <w:rFonts w:hint="eastAsia"/>
          <w:sz w:val="28"/>
          <w:szCs w:val="28"/>
        </w:rPr>
        <w:t>1、标准化池塘精养基地</w:t>
      </w:r>
    </w:p>
    <w:p>
      <w:pPr>
        <w:ind w:firstLine="560" w:firstLineChars="200"/>
        <w:rPr>
          <w:sz w:val="28"/>
          <w:szCs w:val="28"/>
        </w:rPr>
      </w:pPr>
      <w:r>
        <w:rPr>
          <w:rFonts w:hint="eastAsia"/>
          <w:sz w:val="28"/>
          <w:szCs w:val="28"/>
        </w:rPr>
        <w:t>在以牛家梁镇为代表的4个北线乡镇（王则湾、刀则湾、转龙湾、中营盘村、马家梁村）北线地区，改建标准化池塘精养基地2000亩，新建1000亩，年产鲜鱼5000吨，打造榆阳区水产品牌，保障水产品产量。</w:t>
      </w:r>
    </w:p>
    <w:p>
      <w:pPr>
        <w:ind w:firstLine="560" w:firstLineChars="200"/>
        <w:rPr>
          <w:sz w:val="28"/>
          <w:szCs w:val="28"/>
        </w:rPr>
      </w:pPr>
      <w:r>
        <w:rPr>
          <w:rFonts w:hint="eastAsia"/>
          <w:sz w:val="28"/>
          <w:szCs w:val="28"/>
        </w:rPr>
        <w:t>2、特色养殖基地</w:t>
      </w:r>
    </w:p>
    <w:p>
      <w:pPr>
        <w:ind w:firstLine="560" w:firstLineChars="200"/>
        <w:rPr>
          <w:sz w:val="28"/>
          <w:szCs w:val="28"/>
        </w:rPr>
      </w:pPr>
      <w:r>
        <w:rPr>
          <w:rFonts w:hint="eastAsia"/>
          <w:sz w:val="28"/>
          <w:szCs w:val="28"/>
        </w:rPr>
        <w:t>孟家湾特色养殖基地，通过改建鱼池300亩，达到特色养殖池塘标准，引进南美白对虾、蟹、匙吻鲟、长丰鲢等特色养殖基地。年产特种水产品40～50吨，可丰富市民“菜篮子”。</w:t>
      </w:r>
    </w:p>
    <w:p>
      <w:pPr>
        <w:ind w:firstLine="560" w:firstLineChars="200"/>
        <w:rPr>
          <w:sz w:val="28"/>
          <w:szCs w:val="28"/>
        </w:rPr>
      </w:pPr>
      <w:r>
        <w:rPr>
          <w:rFonts w:hint="eastAsia"/>
          <w:sz w:val="28"/>
          <w:szCs w:val="28"/>
        </w:rPr>
        <w:t>3、苗种繁育基地</w:t>
      </w:r>
    </w:p>
    <w:p>
      <w:pPr>
        <w:ind w:firstLine="560" w:firstLineChars="200"/>
        <w:rPr>
          <w:sz w:val="28"/>
          <w:szCs w:val="28"/>
        </w:rPr>
      </w:pPr>
      <w:r>
        <w:rPr>
          <w:rFonts w:hint="eastAsia"/>
          <w:sz w:val="28"/>
          <w:szCs w:val="28"/>
        </w:rPr>
        <w:t>在牛家梁镇榆卜界建设水产良种基地，通过改建鱼池140亩及其附属设施，达到年生产优质鱼苗鱼种100吨，年纯效益25万元，可解决我区鱼苗鱼种供需矛盾。</w:t>
      </w:r>
    </w:p>
    <w:p>
      <w:pPr>
        <w:ind w:firstLine="560" w:firstLineChars="200"/>
        <w:rPr>
          <w:sz w:val="28"/>
          <w:szCs w:val="28"/>
        </w:rPr>
      </w:pPr>
      <w:r>
        <w:rPr>
          <w:rFonts w:hint="eastAsia"/>
          <w:sz w:val="28"/>
          <w:szCs w:val="28"/>
        </w:rPr>
        <w:t>（二）渔业二产板块</w:t>
      </w:r>
    </w:p>
    <w:p>
      <w:pPr>
        <w:ind w:firstLine="560" w:firstLineChars="200"/>
        <w:rPr>
          <w:sz w:val="28"/>
          <w:szCs w:val="28"/>
        </w:rPr>
      </w:pPr>
      <w:r>
        <w:rPr>
          <w:rFonts w:hint="eastAsia"/>
          <w:sz w:val="28"/>
          <w:szCs w:val="28"/>
        </w:rPr>
        <w:t>1、水产品加工基地</w:t>
      </w:r>
    </w:p>
    <w:p>
      <w:pPr>
        <w:ind w:firstLine="560" w:firstLineChars="200"/>
        <w:rPr>
          <w:sz w:val="28"/>
          <w:szCs w:val="28"/>
        </w:rPr>
      </w:pPr>
      <w:r>
        <w:rPr>
          <w:rFonts w:hint="eastAsia"/>
          <w:sz w:val="28"/>
          <w:szCs w:val="28"/>
        </w:rPr>
        <w:t>在现代农业示范园区建设水产品加工基地，建设家庭渔场4个。年加工水产品500吨，配合饲料5～10万吨，渔肥5万吨。</w:t>
      </w:r>
    </w:p>
    <w:p>
      <w:pPr>
        <w:ind w:firstLine="560" w:firstLineChars="200"/>
        <w:rPr>
          <w:sz w:val="28"/>
          <w:szCs w:val="28"/>
        </w:rPr>
      </w:pPr>
      <w:r>
        <w:rPr>
          <w:rFonts w:hint="eastAsia"/>
          <w:sz w:val="28"/>
          <w:szCs w:val="28"/>
        </w:rPr>
        <w:t>2、服务保障基地</w:t>
      </w:r>
    </w:p>
    <w:p>
      <w:pPr>
        <w:ind w:firstLine="560" w:firstLineChars="200"/>
        <w:rPr>
          <w:sz w:val="28"/>
          <w:szCs w:val="28"/>
        </w:rPr>
      </w:pPr>
      <w:r>
        <w:rPr>
          <w:rFonts w:hint="eastAsia"/>
          <w:sz w:val="28"/>
          <w:szCs w:val="28"/>
        </w:rPr>
        <w:t>在城区建设国家级水产品质量检验检疫中心，加强水产技术推广与疫病防治中心建设，扩大渔需物资供应市场建设。</w:t>
      </w:r>
    </w:p>
    <w:p>
      <w:pPr>
        <w:ind w:firstLine="560" w:firstLineChars="200"/>
        <w:rPr>
          <w:sz w:val="28"/>
          <w:szCs w:val="28"/>
        </w:rPr>
      </w:pPr>
      <w:r>
        <w:rPr>
          <w:rFonts w:hint="eastAsia"/>
          <w:sz w:val="28"/>
          <w:szCs w:val="28"/>
        </w:rPr>
        <w:t>（三）渔业三产板块</w:t>
      </w:r>
    </w:p>
    <w:p>
      <w:pPr>
        <w:ind w:firstLine="560" w:firstLineChars="200"/>
        <w:rPr>
          <w:sz w:val="28"/>
          <w:szCs w:val="28"/>
        </w:rPr>
      </w:pPr>
      <w:r>
        <w:rPr>
          <w:rFonts w:hint="eastAsia"/>
          <w:sz w:val="28"/>
          <w:szCs w:val="28"/>
        </w:rPr>
        <w:t>1、集散物流基地</w:t>
      </w:r>
    </w:p>
    <w:p>
      <w:pPr>
        <w:ind w:firstLine="560" w:firstLineChars="200"/>
        <w:rPr>
          <w:sz w:val="28"/>
          <w:szCs w:val="28"/>
        </w:rPr>
      </w:pPr>
      <w:r>
        <w:rPr>
          <w:rFonts w:hint="eastAsia"/>
          <w:sz w:val="28"/>
          <w:szCs w:val="28"/>
        </w:rPr>
        <w:t>在城区建设水产品批发市场2～3个，批发点8～10个。年交易规模逐步达到15万吨，年交易额10亿元。</w:t>
      </w:r>
    </w:p>
    <w:p>
      <w:pPr>
        <w:ind w:firstLine="560" w:firstLineChars="200"/>
        <w:rPr>
          <w:sz w:val="28"/>
          <w:szCs w:val="28"/>
        </w:rPr>
      </w:pPr>
      <w:r>
        <w:rPr>
          <w:rFonts w:hint="eastAsia"/>
          <w:sz w:val="28"/>
          <w:szCs w:val="28"/>
        </w:rPr>
        <w:t>2、休闲渔业基地</w:t>
      </w:r>
    </w:p>
    <w:p>
      <w:pPr>
        <w:ind w:firstLine="560" w:firstLineChars="200"/>
        <w:rPr>
          <w:sz w:val="28"/>
          <w:szCs w:val="28"/>
        </w:rPr>
      </w:pPr>
      <w:r>
        <w:rPr>
          <w:rFonts w:hint="eastAsia"/>
          <w:sz w:val="28"/>
          <w:szCs w:val="28"/>
        </w:rPr>
        <w:t>在郊区建设大型渔业休闲旅游基地10个。建设垂钓场、垂钓园及“渔家乐”休闲点20个。年接纳旅客50万人次，休闲渔业年产值达到2500万元。</w:t>
      </w:r>
    </w:p>
    <w:p>
      <w:pPr>
        <w:rPr>
          <w:sz w:val="28"/>
          <w:szCs w:val="28"/>
        </w:rPr>
      </w:pPr>
      <w:r>
        <w:rPr>
          <w:rFonts w:hint="eastAsia"/>
          <w:sz w:val="28"/>
          <w:szCs w:val="28"/>
        </w:rPr>
        <w:t>三、管理措施</w:t>
      </w:r>
    </w:p>
    <w:p>
      <w:pPr>
        <w:ind w:firstLine="560" w:firstLineChars="200"/>
        <w:rPr>
          <w:sz w:val="28"/>
          <w:szCs w:val="28"/>
        </w:rPr>
      </w:pPr>
      <w:r>
        <w:rPr>
          <w:rFonts w:hint="eastAsia"/>
          <w:sz w:val="28"/>
          <w:szCs w:val="28"/>
        </w:rPr>
        <w:t>养殖区内符合规划的养殖项目，应当科学确定养殖密度，合理投饵、使用药物，防止造成水域的环境污染，养殖生产应符合《水产养殖质量安全管理规定》的有关要求。完善全民所有养殖水域、滩涂使用审批，健全使用权的招、拍、挂等交易制度，推进集体所有养殖水域、滩涂承包经营权的确权工作，规范水域滩涂养殖发证登记工作。加强渔政执法，查处无证养殖，对非法侵占养殖水域滩涂行为进行处理，规范养殖水域滩涂开发利用秩序，强化社会监督。养殖生产者在养殖生产过程中不得使用任何农药进行清塘、清淤。养殖尾水污染物的排放须达到国家或陕西省相关排放标准，或将养殖用水循环使用。养殖生产者收集的养殖污染物应用于塘堤护坡或用于种植农产品的肥料，不得随意处置，防止造成二次污染。养殖生产者须配备深埋等无害化处理设施，用于处理相应的病死水生动物。养殖生产者需接受水产品质量和渔业水环境监测。以承包合同的形式禁止使用冰鲜鱼等动物源性饵料。</w:t>
      </w:r>
    </w:p>
    <w:p>
      <w:pPr>
        <w:rPr>
          <w:sz w:val="28"/>
          <w:szCs w:val="28"/>
        </w:rPr>
        <w:sectPr>
          <w:pgSz w:w="11906" w:h="16838"/>
          <w:pgMar w:top="1440" w:right="1800" w:bottom="1440" w:left="1800" w:header="851" w:footer="992" w:gutter="0"/>
          <w:cols w:space="720" w:num="1"/>
          <w:docGrid w:type="lines" w:linePitch="312" w:charSpace="0"/>
        </w:sectPr>
      </w:pPr>
    </w:p>
    <w:p>
      <w:pPr>
        <w:spacing w:beforeLines="100" w:afterLines="100"/>
        <w:jc w:val="center"/>
        <w:outlineLvl w:val="0"/>
        <w:rPr>
          <w:rFonts w:ascii="黑体" w:eastAsia="黑体"/>
          <w:sz w:val="32"/>
          <w:szCs w:val="32"/>
        </w:rPr>
      </w:pPr>
      <w:bookmarkStart w:id="46" w:name="_Toc532809868"/>
      <w:bookmarkStart w:id="47" w:name="_Toc529609963"/>
      <w:r>
        <w:rPr>
          <w:rFonts w:hint="eastAsia" w:ascii="黑体" w:eastAsia="黑体"/>
          <w:sz w:val="32"/>
          <w:szCs w:val="32"/>
        </w:rPr>
        <w:t>第四章  保障措施</w:t>
      </w:r>
      <w:bookmarkEnd w:id="46"/>
      <w:bookmarkEnd w:id="47"/>
    </w:p>
    <w:p>
      <w:pPr>
        <w:ind w:firstLine="560" w:firstLineChars="200"/>
        <w:rPr>
          <w:sz w:val="28"/>
          <w:szCs w:val="28"/>
        </w:rPr>
      </w:pPr>
      <w:r>
        <w:rPr>
          <w:rFonts w:hint="eastAsia"/>
          <w:sz w:val="28"/>
          <w:szCs w:val="28"/>
        </w:rPr>
        <w:t>按照水产养殖功能区域划分和功能定位要求，以充分发挥区域优势为立足点和出发点，通过法律与政策、组织与管理、体制与机制、资金与投入、资源与设施、人员素质与人才培养等保障措施，确保规划的全面实施，推进主导产业和优势产品的规模化经营和产业化发展水平，促进水产养殖业的持续健康发展。</w:t>
      </w:r>
    </w:p>
    <w:p>
      <w:pPr>
        <w:spacing w:beforeLines="50" w:afterLines="50"/>
        <w:outlineLvl w:val="1"/>
        <w:rPr>
          <w:b/>
          <w:sz w:val="30"/>
          <w:szCs w:val="30"/>
        </w:rPr>
      </w:pPr>
      <w:bookmarkStart w:id="48" w:name="_Toc529609964"/>
      <w:bookmarkStart w:id="49" w:name="_Toc532809869"/>
      <w:r>
        <w:rPr>
          <w:rFonts w:hint="eastAsia"/>
          <w:b/>
          <w:sz w:val="30"/>
          <w:szCs w:val="30"/>
        </w:rPr>
        <w:t>第十三节 加强组织领导</w:t>
      </w:r>
      <w:bookmarkEnd w:id="48"/>
      <w:bookmarkEnd w:id="49"/>
    </w:p>
    <w:p>
      <w:pPr>
        <w:rPr>
          <w:sz w:val="28"/>
          <w:szCs w:val="28"/>
        </w:rPr>
      </w:pPr>
      <w:r>
        <w:rPr>
          <w:rFonts w:hint="eastAsia"/>
          <w:sz w:val="28"/>
          <w:szCs w:val="28"/>
        </w:rPr>
        <w:t>一、明确渔业部门管理职责</w:t>
      </w:r>
    </w:p>
    <w:p>
      <w:pPr>
        <w:ind w:firstLine="560" w:firstLineChars="200"/>
        <w:rPr>
          <w:sz w:val="28"/>
          <w:szCs w:val="28"/>
        </w:rPr>
      </w:pPr>
      <w:r>
        <w:rPr>
          <w:rFonts w:hint="eastAsia"/>
          <w:sz w:val="28"/>
          <w:szCs w:val="28"/>
        </w:rPr>
        <w:t>政府要加强对规划实施推进的组织领导，准确把握“十三五”发展新特点、新使命和新要求。渔业行政主管部门应根据本规划制定具体实施方案，明确工作职责，分解目标任务，建立工作推进机制。省渔业局要强化规划的跟踪督导，区内渔业主管部门要切实担负起规划落实责任，密切配合区委、区政府，协调上下级渔业主管单位，同区水利局、农业局、环保局、国土资源局、交通局、发改委、财政局、科技局等相关部门加强对规划的行政管理、监督管理和协调管理，协调、引导各部门将各项工作任务落到实处。</w:t>
      </w:r>
    </w:p>
    <w:p>
      <w:pPr>
        <w:rPr>
          <w:sz w:val="28"/>
          <w:szCs w:val="28"/>
        </w:rPr>
      </w:pPr>
      <w:r>
        <w:rPr>
          <w:rFonts w:hint="eastAsia"/>
          <w:sz w:val="28"/>
          <w:szCs w:val="28"/>
        </w:rPr>
        <w:t>二、完善法治保障</w:t>
      </w:r>
    </w:p>
    <w:p>
      <w:pPr>
        <w:ind w:firstLine="560" w:firstLineChars="200"/>
        <w:rPr>
          <w:sz w:val="28"/>
          <w:szCs w:val="28"/>
        </w:rPr>
      </w:pPr>
      <w:r>
        <w:rPr>
          <w:rFonts w:hint="eastAsia"/>
          <w:sz w:val="28"/>
          <w:szCs w:val="28"/>
        </w:rPr>
        <w:t>认真贯彻实施渔业法、渔业船舶管理办法等法规制度，健全养殖尾水排放、生态损害赔补偿等标准和规范，完善配套实施办法和细则。坚持依法行政，各有关部门加强沟通和协调配合，加大对破坏渔业资源、水域环境等违法违规活动的处罚力度，规范行政裁量权，细化分类处理的办法和程序，使工作有法可依，有章可循。</w:t>
      </w:r>
    </w:p>
    <w:p>
      <w:pPr>
        <w:rPr>
          <w:sz w:val="28"/>
          <w:szCs w:val="28"/>
        </w:rPr>
      </w:pPr>
      <w:r>
        <w:rPr>
          <w:rFonts w:hint="eastAsia"/>
          <w:sz w:val="28"/>
          <w:szCs w:val="28"/>
        </w:rPr>
        <w:t>三、规范规划修订</w:t>
      </w:r>
    </w:p>
    <w:p>
      <w:pPr>
        <w:ind w:firstLine="560" w:firstLineChars="200"/>
        <w:rPr>
          <w:sz w:val="28"/>
          <w:szCs w:val="28"/>
        </w:rPr>
      </w:pPr>
      <w:r>
        <w:rPr>
          <w:rFonts w:hint="eastAsia"/>
          <w:sz w:val="28"/>
          <w:szCs w:val="28"/>
        </w:rPr>
        <w:t>规划批准后，未经规定程序任何单位和个人不得随意更改，本级渔业行政主管部门应定期对规划实施情况开展评估，因生态安全、经国务院批准的区域规划或产业规划确定的重大项目建设等原因，养殖水域滩涂环境发生重大改变确需修改的，由本级渔业行政主管部门提出修改建议。一般性修改是指在局部地区进行的不涉及一级养殖水域滩涂类型调整的，可由本级渔业行政主管部门提出修改方案，报同级人民政府批准后修改实施。重大修改是指涉及一级养殖水域滩涂类型调整的，应报上一级渔业行政主管部门审核同意，由本级渔业行政主管部门组织论证，报本级人民政府批准后修改实施。</w:t>
      </w:r>
    </w:p>
    <w:p>
      <w:pPr>
        <w:spacing w:beforeLines="50" w:afterLines="50"/>
        <w:outlineLvl w:val="1"/>
        <w:rPr>
          <w:b/>
          <w:sz w:val="30"/>
          <w:szCs w:val="30"/>
        </w:rPr>
      </w:pPr>
      <w:bookmarkStart w:id="50" w:name="_Toc529609965"/>
      <w:bookmarkStart w:id="51" w:name="_Toc532809870"/>
      <w:r>
        <w:rPr>
          <w:rFonts w:hint="eastAsia"/>
          <w:b/>
          <w:sz w:val="30"/>
          <w:szCs w:val="30"/>
        </w:rPr>
        <w:t>第十四节 强化监督检查</w:t>
      </w:r>
      <w:bookmarkEnd w:id="50"/>
      <w:bookmarkEnd w:id="51"/>
    </w:p>
    <w:p>
      <w:pPr>
        <w:rPr>
          <w:sz w:val="28"/>
          <w:szCs w:val="28"/>
        </w:rPr>
      </w:pPr>
      <w:r>
        <w:rPr>
          <w:rFonts w:hint="eastAsia"/>
          <w:sz w:val="28"/>
          <w:szCs w:val="28"/>
        </w:rPr>
        <w:t>一、加强用途管制</w:t>
      </w:r>
    </w:p>
    <w:p>
      <w:pPr>
        <w:ind w:firstLine="560" w:firstLineChars="200"/>
        <w:rPr>
          <w:sz w:val="28"/>
          <w:szCs w:val="28"/>
        </w:rPr>
      </w:pPr>
      <w:r>
        <w:rPr>
          <w:rFonts w:hint="eastAsia"/>
          <w:sz w:val="28"/>
          <w:szCs w:val="28"/>
        </w:rPr>
        <w:t>规划是养殖水域滩涂使用管理的基本依据，养殖水域滩涂使用管理要严格依据规划开展，严格限制擅自改变养殖水域滩涂使用用途的行为。在规划范围外，不得新建及改扩建养殖项目。其它生态保护或工程建设项目等占用规划内养殖水域滩涂的，必须征求渔业行政主管部门意见，按照有关要求对规划进行修订后实施，造成养殖生产者经济损失的应依法给予补偿。</w:t>
      </w:r>
    </w:p>
    <w:p>
      <w:pPr>
        <w:rPr>
          <w:sz w:val="28"/>
          <w:szCs w:val="28"/>
        </w:rPr>
      </w:pPr>
      <w:r>
        <w:rPr>
          <w:rFonts w:hint="eastAsia"/>
          <w:sz w:val="28"/>
          <w:szCs w:val="28"/>
        </w:rPr>
        <w:t>二、完善养殖水域滩涂使用审批</w:t>
      </w:r>
    </w:p>
    <w:p>
      <w:pPr>
        <w:ind w:firstLine="560" w:firstLineChars="200"/>
        <w:rPr>
          <w:sz w:val="28"/>
          <w:szCs w:val="28"/>
        </w:rPr>
      </w:pPr>
      <w:r>
        <w:rPr>
          <w:rFonts w:hint="eastAsia"/>
          <w:sz w:val="28"/>
          <w:szCs w:val="28"/>
        </w:rPr>
        <w:t>完善全民所有养殖水域、滩涂使用审批，健全使用权的招、拍、挂等交易制度，推进集体所有养殖水域、滩涂承包经营权的确权工作，规范水域滩涂养殖发证登记工作，进一步完善区域渔业管理制度，科学利用水域从事水产养殖生产，切实维护养殖生产者的合法权益，保障水产品质量安全，促进渔业可持续健康发展。要加强养殖证制度实施的组织和领导，要加强养殖水域滩涂用途管制、要加强水产养殖生产执法，对于擅自改变养殖水域滩涂用途的单位和个人要依法收回《养殖水域滩涂使用证》。</w:t>
      </w:r>
    </w:p>
    <w:p>
      <w:pPr>
        <w:rPr>
          <w:sz w:val="28"/>
          <w:szCs w:val="28"/>
        </w:rPr>
      </w:pPr>
      <w:r>
        <w:rPr>
          <w:rFonts w:hint="eastAsia"/>
          <w:sz w:val="28"/>
          <w:szCs w:val="28"/>
        </w:rPr>
        <w:t>三、加强水产养殖生产执法</w:t>
      </w:r>
    </w:p>
    <w:p>
      <w:pPr>
        <w:ind w:firstLine="560" w:firstLineChars="200"/>
        <w:rPr>
          <w:sz w:val="28"/>
          <w:szCs w:val="28"/>
        </w:rPr>
      </w:pPr>
      <w:r>
        <w:rPr>
          <w:rFonts w:hint="eastAsia"/>
          <w:sz w:val="28"/>
          <w:szCs w:val="28"/>
        </w:rPr>
        <w:t>建立一支政治素质高、法律意识强、业务精通、作风过硬的渔政执法队伍，加强渔政执法、查处无证养殖，对非法侵占养殖水域滩涂行为进行处理，规范养殖水域滩涂开发利用秩序，强化社会监督。严厉打击电鱼、毒鱼、炸鱼等破坏渔业资源的行为，重奖举报人，充分调动当地群众参与管渔、护渔积极性。严禁自用船只非法捕捞作业，“三无”船只由区政府负责依法取缔，维护水产养殖生产秩序，保护养殖户的合法权益。</w:t>
      </w:r>
    </w:p>
    <w:p>
      <w:pPr>
        <w:spacing w:beforeLines="50" w:afterLines="50"/>
        <w:outlineLvl w:val="1"/>
        <w:rPr>
          <w:b/>
          <w:sz w:val="30"/>
          <w:szCs w:val="30"/>
        </w:rPr>
      </w:pPr>
      <w:bookmarkStart w:id="52" w:name="_Toc532809871"/>
      <w:bookmarkStart w:id="53" w:name="_Toc529609966"/>
      <w:r>
        <w:rPr>
          <w:rFonts w:hint="eastAsia"/>
          <w:b/>
          <w:sz w:val="30"/>
          <w:szCs w:val="30"/>
        </w:rPr>
        <w:t>第十五节 完善生态保护</w:t>
      </w:r>
      <w:bookmarkEnd w:id="52"/>
      <w:bookmarkEnd w:id="53"/>
    </w:p>
    <w:p>
      <w:pPr>
        <w:rPr>
          <w:sz w:val="28"/>
          <w:szCs w:val="28"/>
        </w:rPr>
      </w:pPr>
      <w:r>
        <w:rPr>
          <w:rFonts w:hint="eastAsia"/>
          <w:sz w:val="28"/>
          <w:szCs w:val="28"/>
        </w:rPr>
        <w:t>一、加强水产养殖防控</w:t>
      </w:r>
    </w:p>
    <w:p>
      <w:pPr>
        <w:ind w:firstLine="560" w:firstLineChars="200"/>
        <w:rPr>
          <w:sz w:val="28"/>
          <w:szCs w:val="28"/>
        </w:rPr>
      </w:pPr>
      <w:r>
        <w:rPr>
          <w:rFonts w:hint="eastAsia"/>
          <w:sz w:val="28"/>
          <w:szCs w:val="28"/>
        </w:rPr>
        <w:t>在进行水资源合理开发利用的同时，严格控制工业“三废”、生活废水、农牧业和渔业生产自身对水资源的污染，按照资源节约、环境友好和循环经济的发展要求，对养殖池塘进行标准化、规模化改造，推广健康生态养殖模式，使用高效、安全、环保型饲料，推广池塘内循环养殖技术，提高水资源利用率。严格执行禁养区、限养区划定规定，积极开展绿色低碳水产健康养殖。</w:t>
      </w:r>
    </w:p>
    <w:p>
      <w:pPr>
        <w:rPr>
          <w:sz w:val="28"/>
          <w:szCs w:val="28"/>
        </w:rPr>
      </w:pPr>
      <w:r>
        <w:rPr>
          <w:rFonts w:hint="eastAsia"/>
          <w:sz w:val="28"/>
          <w:szCs w:val="28"/>
        </w:rPr>
        <w:t>二、加强渔业水域环境监测</w:t>
      </w:r>
    </w:p>
    <w:p>
      <w:pPr>
        <w:ind w:firstLine="560" w:firstLineChars="200"/>
        <w:rPr>
          <w:sz w:val="28"/>
          <w:szCs w:val="28"/>
        </w:rPr>
      </w:pPr>
      <w:r>
        <w:rPr>
          <w:rFonts w:hint="eastAsia"/>
          <w:sz w:val="28"/>
          <w:szCs w:val="28"/>
        </w:rPr>
        <w:t>结合环保部门对区域内主要水域监测点的监测，同时开展渔业水质及排放污水抽样检查，每季度集中监测一次，结合水文气候等资料统筹分析归纳，形成养殖水域水环境监测报告，并提出水质管理与调控对策，维护生物多样性和水域生态安全，促进渔业可持续健康发展的目的。加强对水库的生态养殖区水质的跟踪检测，做好预报预警，一旦发现水质情况发生变化，须采取相应的措施进行减缓或治理。</w:t>
      </w:r>
    </w:p>
    <w:p>
      <w:pPr>
        <w:rPr>
          <w:sz w:val="28"/>
          <w:szCs w:val="28"/>
        </w:rPr>
      </w:pPr>
      <w:r>
        <w:rPr>
          <w:rFonts w:hint="eastAsia"/>
          <w:sz w:val="28"/>
          <w:szCs w:val="28"/>
        </w:rPr>
        <w:t>三、开展示范减排技术</w:t>
      </w:r>
    </w:p>
    <w:p>
      <w:pPr>
        <w:ind w:firstLine="560" w:firstLineChars="200"/>
        <w:rPr>
          <w:sz w:val="28"/>
          <w:szCs w:val="28"/>
        </w:rPr>
      </w:pPr>
      <w:r>
        <w:rPr>
          <w:rFonts w:hint="eastAsia"/>
          <w:sz w:val="28"/>
          <w:szCs w:val="28"/>
        </w:rPr>
        <w:t>开展循环水养殖、池塘养殖底排污和零用药零换水养殖等节能减排技术试验示范，实现水资源循环利用和节能减排减药目标，形成可示范推广技术模式。开展渔船水污染物排放调查，分析评价渔船排放尾气污染物含量，形成渔船废气排放分地区和综合调查报告，提出渔船废气排放污染大气防治方案建议。</w:t>
      </w:r>
    </w:p>
    <w:p>
      <w:pPr>
        <w:spacing w:beforeLines="50" w:afterLines="50"/>
        <w:outlineLvl w:val="1"/>
        <w:rPr>
          <w:b/>
          <w:sz w:val="30"/>
          <w:szCs w:val="30"/>
        </w:rPr>
      </w:pPr>
      <w:bookmarkStart w:id="54" w:name="_Toc529609967"/>
      <w:bookmarkStart w:id="55" w:name="_Toc532809872"/>
      <w:r>
        <w:rPr>
          <w:rFonts w:hint="eastAsia"/>
          <w:b/>
          <w:sz w:val="30"/>
          <w:szCs w:val="30"/>
        </w:rPr>
        <w:t>第十六节 其他保障措施</w:t>
      </w:r>
      <w:bookmarkEnd w:id="54"/>
      <w:bookmarkEnd w:id="55"/>
    </w:p>
    <w:p>
      <w:pPr>
        <w:rPr>
          <w:sz w:val="28"/>
          <w:szCs w:val="28"/>
        </w:rPr>
      </w:pPr>
      <w:r>
        <w:rPr>
          <w:rFonts w:hint="eastAsia"/>
          <w:sz w:val="28"/>
          <w:szCs w:val="28"/>
        </w:rPr>
        <w:t>一、发挥舆论宣传</w:t>
      </w:r>
    </w:p>
    <w:p>
      <w:pPr>
        <w:ind w:firstLine="560" w:firstLineChars="200"/>
        <w:rPr>
          <w:sz w:val="28"/>
          <w:szCs w:val="28"/>
        </w:rPr>
      </w:pPr>
      <w:r>
        <w:rPr>
          <w:rFonts w:hint="eastAsia"/>
          <w:sz w:val="28"/>
          <w:szCs w:val="28"/>
        </w:rPr>
        <w:t>发挥新闻媒体的宣传和监督作用，同时借助有关各部门、单位、社会团体和个人的力量，积极宣传国家生态环境保护相关方针政策、法律法规，公开生态环境执法典型案例，通过案例教育群众，普及生态知识，提高渔民主动参与保护渔业资源、保护生态环境的自觉性。</w:t>
      </w:r>
    </w:p>
    <w:p>
      <w:pPr>
        <w:rPr>
          <w:sz w:val="28"/>
          <w:szCs w:val="28"/>
        </w:rPr>
      </w:pPr>
      <w:r>
        <w:rPr>
          <w:rFonts w:hint="eastAsia"/>
          <w:sz w:val="28"/>
          <w:szCs w:val="28"/>
        </w:rPr>
        <w:t>二、加大投入力度</w:t>
      </w:r>
    </w:p>
    <w:p>
      <w:pPr>
        <w:ind w:firstLine="560" w:firstLineChars="200"/>
        <w:rPr>
          <w:sz w:val="28"/>
          <w:szCs w:val="28"/>
        </w:rPr>
      </w:pPr>
      <w:r>
        <w:rPr>
          <w:rFonts w:hint="eastAsia"/>
          <w:sz w:val="28"/>
          <w:szCs w:val="28"/>
        </w:rPr>
        <w:t>加大财政资金整合力度，保障专项执法、违规治理、增殖放流、监测预警、生态修复等工作有序推进；统筹利用各项政策，加强项目资金的倾斜和引导；引导和激励社会多元化投入的体制机制，形成多渠道筹资、多元化投入的新局面，在基础设施建设、项目申报、科技推广、金融服务、产品推介等方面搞好协调服务，形成渔业发展的强大合力。</w:t>
      </w:r>
    </w:p>
    <w:p>
      <w:pPr>
        <w:rPr>
          <w:sz w:val="28"/>
          <w:szCs w:val="28"/>
        </w:rPr>
      </w:pPr>
      <w:r>
        <w:rPr>
          <w:rFonts w:hint="eastAsia"/>
          <w:sz w:val="28"/>
          <w:szCs w:val="28"/>
        </w:rPr>
        <w:t>三、加强队伍建设</w:t>
      </w:r>
    </w:p>
    <w:p>
      <w:pPr>
        <w:ind w:firstLine="560" w:firstLineChars="200"/>
        <w:rPr>
          <w:sz w:val="28"/>
          <w:szCs w:val="28"/>
        </w:rPr>
      </w:pPr>
      <w:r>
        <w:rPr>
          <w:rFonts w:hint="eastAsia"/>
          <w:sz w:val="28"/>
          <w:szCs w:val="28"/>
        </w:rPr>
        <w:t>壮大基层渔业力量，注重基层一线人才培养和使用。加强渔业科技创新队伍，完善科技人才选拔任用机制。加强系统干部交流，逐步优化队伍的年龄、知识和专业结构，努力打造一支政治坚定、业务过硬、勤政廉洁、敢于担当、勇于创新的渔业管理和渔政执法铁军。</w:t>
      </w:r>
    </w:p>
    <w:p>
      <w:pPr>
        <w:rPr>
          <w:sz w:val="28"/>
          <w:szCs w:val="28"/>
        </w:rPr>
      </w:pPr>
      <w:r>
        <w:rPr>
          <w:rFonts w:hint="eastAsia"/>
          <w:sz w:val="28"/>
          <w:szCs w:val="28"/>
        </w:rPr>
        <w:t>四、推进人才培养</w:t>
      </w:r>
    </w:p>
    <w:p>
      <w:pPr>
        <w:ind w:firstLine="560" w:firstLineChars="200"/>
        <w:rPr>
          <w:sz w:val="28"/>
          <w:szCs w:val="28"/>
        </w:rPr>
      </w:pPr>
      <w:r>
        <w:rPr>
          <w:rFonts w:hint="eastAsia"/>
          <w:sz w:val="28"/>
          <w:szCs w:val="28"/>
        </w:rPr>
        <w:t>实施新型渔民培训工程，培育新型渔民实用人才，以渔业职业技能培训为主线，加强对渔业劳动力就业知识和技能的培训，努力提高渔业从业人员素质。强化渔业高技能人才培养，建立渔业高技能人才培养考核和扶持机制。</w:t>
      </w:r>
      <w:r>
        <w:rPr>
          <w:sz w:val="28"/>
          <w:szCs w:val="28"/>
        </w:rPr>
        <w:t>应用新知识、新技术、新工艺，采取新的生产方式和经营管理模式，提高产品质量，开发生产新产品，提供新服务，推进</w:t>
      </w:r>
      <w:r>
        <w:rPr>
          <w:rFonts w:hint="eastAsia"/>
          <w:sz w:val="28"/>
          <w:szCs w:val="28"/>
        </w:rPr>
        <w:t>区域</w:t>
      </w:r>
      <w:r>
        <w:rPr>
          <w:sz w:val="28"/>
          <w:szCs w:val="28"/>
        </w:rPr>
        <w:t>水产养殖业向更高层次迈进。</w:t>
      </w:r>
    </w:p>
    <w:p>
      <w:pPr>
        <w:rPr>
          <w:sz w:val="28"/>
          <w:szCs w:val="28"/>
        </w:rPr>
      </w:pPr>
      <w:r>
        <w:rPr>
          <w:sz w:val="28"/>
          <w:szCs w:val="28"/>
        </w:rPr>
        <w:t>五、</w:t>
      </w:r>
      <w:r>
        <w:rPr>
          <w:rFonts w:hint="eastAsia"/>
          <w:sz w:val="28"/>
          <w:szCs w:val="28"/>
        </w:rPr>
        <w:t>强化</w:t>
      </w:r>
      <w:r>
        <w:rPr>
          <w:sz w:val="28"/>
          <w:szCs w:val="28"/>
        </w:rPr>
        <w:t>信息建设</w:t>
      </w:r>
    </w:p>
    <w:p>
      <w:pPr>
        <w:ind w:firstLine="560" w:firstLineChars="200"/>
        <w:rPr>
          <w:sz w:val="28"/>
          <w:szCs w:val="28"/>
        </w:rPr>
      </w:pPr>
      <w:r>
        <w:rPr>
          <w:sz w:val="28"/>
          <w:szCs w:val="28"/>
        </w:rPr>
        <w:t>完善</w:t>
      </w:r>
      <w:r>
        <w:rPr>
          <w:rFonts w:hint="eastAsia"/>
          <w:sz w:val="28"/>
          <w:szCs w:val="28"/>
        </w:rPr>
        <w:t>水产病害测报体系、渔业环境监测体系、水生动物防疫检疫体系和水产品质量检验检测体系等</w:t>
      </w:r>
      <w:r>
        <w:rPr>
          <w:sz w:val="28"/>
          <w:szCs w:val="28"/>
        </w:rPr>
        <w:t>渔业及服务信息体系，建设与地区各监测部门信息及网站联通的联网支持体系，及时传达及发布相关养殖、病害、销售方面的信息；要通过建设渔业生产科普培训网络平台，对渔业从业人员进行科学技术普及教育。</w:t>
      </w:r>
    </w:p>
    <w:p>
      <w:pPr>
        <w:rPr>
          <w:sz w:val="28"/>
          <w:szCs w:val="28"/>
        </w:rPr>
        <w:sectPr>
          <w:pgSz w:w="11906" w:h="16838"/>
          <w:pgMar w:top="1440" w:right="1800" w:bottom="1440" w:left="1800" w:header="851" w:footer="992" w:gutter="0"/>
          <w:cols w:space="720" w:num="1"/>
          <w:docGrid w:type="lines" w:linePitch="312" w:charSpace="0"/>
        </w:sectPr>
      </w:pPr>
    </w:p>
    <w:p>
      <w:pPr>
        <w:spacing w:beforeLines="100" w:afterLines="100"/>
        <w:jc w:val="center"/>
        <w:outlineLvl w:val="0"/>
        <w:rPr>
          <w:rFonts w:ascii="黑体" w:eastAsia="黑体"/>
          <w:bCs/>
          <w:sz w:val="32"/>
          <w:szCs w:val="32"/>
        </w:rPr>
      </w:pPr>
      <w:bookmarkStart w:id="56" w:name="_Toc532809873"/>
      <w:bookmarkStart w:id="57" w:name="_Toc529609968"/>
      <w:r>
        <w:rPr>
          <w:rFonts w:hint="eastAsia" w:ascii="黑体" w:eastAsia="黑体"/>
          <w:bCs/>
          <w:sz w:val="32"/>
          <w:szCs w:val="32"/>
        </w:rPr>
        <w:t>第五章  附  则</w:t>
      </w:r>
      <w:bookmarkEnd w:id="56"/>
      <w:bookmarkEnd w:id="57"/>
    </w:p>
    <w:p>
      <w:pPr>
        <w:spacing w:beforeLines="50" w:afterLines="50"/>
        <w:outlineLvl w:val="1"/>
        <w:rPr>
          <w:b/>
          <w:sz w:val="30"/>
          <w:szCs w:val="30"/>
        </w:rPr>
      </w:pPr>
      <w:bookmarkStart w:id="58" w:name="_Toc532809874"/>
      <w:bookmarkStart w:id="59" w:name="_Toc529609969"/>
      <w:r>
        <w:rPr>
          <w:rFonts w:hint="eastAsia"/>
          <w:b/>
          <w:sz w:val="30"/>
          <w:szCs w:val="30"/>
        </w:rPr>
        <w:t>第十七节 关于规划效力</w:t>
      </w:r>
      <w:bookmarkEnd w:id="58"/>
      <w:bookmarkEnd w:id="59"/>
    </w:p>
    <w:p>
      <w:pPr>
        <w:ind w:firstLine="560" w:firstLineChars="200"/>
        <w:rPr>
          <w:sz w:val="28"/>
          <w:szCs w:val="28"/>
        </w:rPr>
      </w:pPr>
      <w:r>
        <w:rPr>
          <w:rFonts w:hint="eastAsia"/>
          <w:sz w:val="28"/>
          <w:szCs w:val="28"/>
        </w:rPr>
        <w:t>养殖水域滩涂规划一经批准，即具有法律效力，必须严格执行。</w:t>
      </w:r>
    </w:p>
    <w:p>
      <w:pPr>
        <w:spacing w:beforeLines="50" w:afterLines="50"/>
        <w:outlineLvl w:val="1"/>
        <w:rPr>
          <w:b/>
          <w:sz w:val="30"/>
          <w:szCs w:val="30"/>
        </w:rPr>
      </w:pPr>
      <w:bookmarkStart w:id="60" w:name="_Toc529609970"/>
      <w:bookmarkStart w:id="61" w:name="_Toc532809875"/>
      <w:r>
        <w:rPr>
          <w:rFonts w:hint="eastAsia"/>
          <w:b/>
          <w:sz w:val="30"/>
          <w:szCs w:val="30"/>
        </w:rPr>
        <w:t>第十八节 关于规划图件</w:t>
      </w:r>
      <w:bookmarkEnd w:id="60"/>
      <w:bookmarkEnd w:id="61"/>
    </w:p>
    <w:p>
      <w:pPr>
        <w:ind w:firstLine="560" w:firstLineChars="200"/>
        <w:rPr>
          <w:sz w:val="28"/>
          <w:szCs w:val="28"/>
        </w:rPr>
      </w:pPr>
      <w:r>
        <w:rPr>
          <w:rFonts w:hint="eastAsia"/>
          <w:sz w:val="28"/>
          <w:szCs w:val="28"/>
        </w:rPr>
        <w:t>规划图为规划文本附件，具有与文本同等的法律效力。</w:t>
      </w:r>
    </w:p>
    <w:p>
      <w:pPr>
        <w:rPr>
          <w:sz w:val="28"/>
          <w:szCs w:val="28"/>
        </w:rPr>
      </w:pPr>
    </w:p>
    <w:p>
      <w:pPr>
        <w:rPr>
          <w:sz w:val="28"/>
          <w:szCs w:val="28"/>
        </w:rPr>
      </w:pPr>
    </w:p>
    <w:p>
      <w:pPr>
        <w:rPr>
          <w:sz w:val="28"/>
          <w:szCs w:val="28"/>
        </w:rPr>
        <w:sectPr>
          <w:pgSz w:w="11906" w:h="16838"/>
          <w:pgMar w:top="1440" w:right="1800" w:bottom="1440" w:left="1800" w:header="851" w:footer="992" w:gutter="0"/>
          <w:cols w:space="720" w:num="1"/>
          <w:docGrid w:type="lines" w:linePitch="312" w:charSpace="0"/>
        </w:sectPr>
      </w:pPr>
    </w:p>
    <w:p>
      <w:pPr>
        <w:spacing w:beforeLines="100" w:afterLines="100"/>
        <w:jc w:val="left"/>
        <w:outlineLvl w:val="0"/>
        <w:rPr>
          <w:rFonts w:ascii="黑体" w:eastAsia="黑体"/>
          <w:sz w:val="32"/>
          <w:szCs w:val="32"/>
        </w:rPr>
      </w:pPr>
      <w:bookmarkStart w:id="62" w:name="_Toc532809876"/>
      <w:bookmarkStart w:id="63" w:name="_Toc529609971"/>
      <w:r>
        <w:rPr>
          <w:rFonts w:hint="eastAsia" w:ascii="黑体" w:eastAsia="黑体"/>
          <w:sz w:val="32"/>
          <w:szCs w:val="32"/>
        </w:rPr>
        <w:t>附录</w:t>
      </w:r>
      <w:bookmarkEnd w:id="62"/>
      <w:bookmarkEnd w:id="63"/>
    </w:p>
    <w:p>
      <w:pPr>
        <w:jc w:val="center"/>
        <w:rPr>
          <w:b/>
          <w:sz w:val="28"/>
          <w:szCs w:val="28"/>
        </w:rPr>
      </w:pPr>
      <w:r>
        <w:rPr>
          <w:rFonts w:hint="eastAsia"/>
          <w:b/>
          <w:sz w:val="28"/>
          <w:szCs w:val="28"/>
        </w:rPr>
        <w:t>《榆林市榆阳区养殖水域滩涂规划（2017-2030）》编制说明</w:t>
      </w:r>
    </w:p>
    <w:p>
      <w:pPr>
        <w:ind w:firstLine="560" w:firstLineChars="200"/>
        <w:rPr>
          <w:sz w:val="28"/>
          <w:szCs w:val="28"/>
        </w:rPr>
      </w:pPr>
      <w:r>
        <w:rPr>
          <w:rFonts w:hint="eastAsia"/>
          <w:sz w:val="28"/>
          <w:szCs w:val="28"/>
        </w:rPr>
        <w:t>按照《农业部关于印发〈养殖水域滩涂规划编制工作规范〉和〈养殖水域滩涂规划编制大纲〉的通知》（农渔发〔2016〕39号）有关要求编制《榆林市榆阳区养殖水域滩涂规划（2017-2030）》。现对《规划》作如下说明：</w:t>
      </w:r>
    </w:p>
    <w:p>
      <w:pPr>
        <w:ind w:firstLine="562" w:firstLineChars="200"/>
        <w:rPr>
          <w:b/>
          <w:sz w:val="28"/>
          <w:szCs w:val="28"/>
        </w:rPr>
      </w:pPr>
      <w:r>
        <w:rPr>
          <w:rFonts w:hint="eastAsia"/>
          <w:b/>
          <w:sz w:val="28"/>
          <w:szCs w:val="28"/>
        </w:rPr>
        <w:t>一、编制过程</w:t>
      </w:r>
    </w:p>
    <w:p>
      <w:pPr>
        <w:ind w:firstLine="560" w:firstLineChars="200"/>
        <w:rPr>
          <w:sz w:val="28"/>
          <w:szCs w:val="28"/>
        </w:rPr>
      </w:pPr>
      <w:r>
        <w:rPr>
          <w:rFonts w:hint="eastAsia"/>
          <w:sz w:val="28"/>
          <w:szCs w:val="28"/>
        </w:rPr>
        <w:t>1、成立规划编制组。2018年9月，榆阳区水产工作站与陕西省动物研究所抽调机关各科室业务骨干、整合力量成立了规划编制组，并制定了规划编制工作方案和推进计划，正式启动规划编制工作。在规划编制过程中，规划编制组对规划编制的每一个环节、每一项工作都严格要求，多次召开会议研究讨论相关工作，确保规划编制顺利有序推进。</w:t>
      </w:r>
    </w:p>
    <w:p>
      <w:pPr>
        <w:ind w:firstLine="560" w:firstLineChars="200"/>
        <w:rPr>
          <w:sz w:val="28"/>
          <w:szCs w:val="28"/>
        </w:rPr>
      </w:pPr>
      <w:r>
        <w:rPr>
          <w:rFonts w:hint="eastAsia"/>
          <w:sz w:val="28"/>
          <w:szCs w:val="28"/>
        </w:rPr>
        <w:t>2、深入开展调查研究。为提高《规划》的科学性、合理性和可操作性，2018年9月开始，利用一个月的时间，规划编制组赴榆阳区27个乡镇和街道进行实地调研，充分调查各地养殖水域滩涂现状，并自行拟定了规划编制的一些具体文本和图件制作的细则，在广泛听取对规划编制的意见和建议的基础上进行了完善，为规划编制工作奠定了扎实的基础。</w:t>
      </w:r>
    </w:p>
    <w:p>
      <w:pPr>
        <w:ind w:firstLine="560" w:firstLineChars="200"/>
        <w:rPr>
          <w:sz w:val="28"/>
          <w:szCs w:val="28"/>
        </w:rPr>
      </w:pPr>
      <w:r>
        <w:rPr>
          <w:rFonts w:hint="eastAsia"/>
          <w:sz w:val="28"/>
          <w:szCs w:val="28"/>
        </w:rPr>
        <w:t>3、初步完成规划编制。规划编制组开展《规划》文本编制和图件制作，于2018年10月完成初稿，后在农业部、陕西省渔业局、榆林市水产工作站和榆阳区水产工作站等相关部门领导的指导下数易其稿，于2018年11月初完成征求意见稿。</w:t>
      </w:r>
    </w:p>
    <w:p>
      <w:pPr>
        <w:ind w:firstLine="560" w:firstLineChars="200"/>
        <w:rPr>
          <w:sz w:val="28"/>
          <w:szCs w:val="28"/>
        </w:rPr>
      </w:pPr>
      <w:r>
        <w:rPr>
          <w:rFonts w:hint="eastAsia"/>
          <w:sz w:val="28"/>
          <w:szCs w:val="28"/>
        </w:rPr>
        <w:t>4、开展征求意见工作。11月上旬，规划编制组在榆阳区水务局召开征求意见座谈会，听取各个乡镇、街道和其他规划内容涉及的相关部门的意见和建议。规划编制组根据各部门和乡镇街道的意见反馈情况，进行规划的修改和完善。</w:t>
      </w:r>
    </w:p>
    <w:p>
      <w:pPr>
        <w:ind w:firstLine="560" w:firstLineChars="200"/>
        <w:rPr>
          <w:color w:val="FF0000"/>
          <w:sz w:val="28"/>
          <w:szCs w:val="28"/>
        </w:rPr>
      </w:pPr>
      <w:r>
        <w:rPr>
          <w:rFonts w:hint="eastAsia"/>
          <w:sz w:val="28"/>
          <w:szCs w:val="28"/>
        </w:rPr>
        <w:t>5、评审、送审。11月中旬，规划编制组在榆阳区水务局组织有关专家和相关部门负责人对《规划》进行评审，听取专家及相关部门的意见和建议。其中，各专家就滩涂开发总体思路和规划养殖图表等问题提出了意见，环保部门和土地规划部门也对《规划》提出一些修改意见。规划编制组根据专家及各部门的意见反馈情况，进行修改和完善后，送审。</w:t>
      </w:r>
    </w:p>
    <w:p>
      <w:pPr>
        <w:ind w:firstLine="560" w:firstLineChars="200"/>
        <w:rPr>
          <w:sz w:val="28"/>
          <w:szCs w:val="28"/>
        </w:rPr>
      </w:pPr>
      <w:r>
        <w:rPr>
          <w:rFonts w:hint="eastAsia"/>
          <w:sz w:val="28"/>
          <w:szCs w:val="28"/>
        </w:rPr>
        <w:t>6、审核、发布。12月，榆阳区水产工作站逐级上报审核。12月下旬，榆阳区人民政府对《规划》进行发布。</w:t>
      </w:r>
    </w:p>
    <w:p>
      <w:pPr>
        <w:ind w:firstLine="562" w:firstLineChars="200"/>
        <w:rPr>
          <w:b/>
          <w:sz w:val="28"/>
          <w:szCs w:val="28"/>
        </w:rPr>
      </w:pPr>
      <w:r>
        <w:rPr>
          <w:rFonts w:hint="eastAsia"/>
          <w:b/>
          <w:sz w:val="28"/>
          <w:szCs w:val="28"/>
        </w:rPr>
        <w:t>二、主要框架和内容</w:t>
      </w:r>
    </w:p>
    <w:p>
      <w:pPr>
        <w:ind w:firstLine="560" w:firstLineChars="200"/>
        <w:rPr>
          <w:sz w:val="28"/>
          <w:szCs w:val="28"/>
        </w:rPr>
      </w:pPr>
      <w:r>
        <w:rPr>
          <w:rFonts w:hint="eastAsia"/>
          <w:sz w:val="28"/>
          <w:szCs w:val="28"/>
        </w:rPr>
        <w:t>《规划》共分五部分，包括：总则、养殖水域滩涂利用评价、养殖水域滩涂功能区划、保障措施、附则。</w:t>
      </w:r>
    </w:p>
    <w:p>
      <w:pPr>
        <w:ind w:firstLine="560" w:firstLineChars="200"/>
        <w:rPr>
          <w:sz w:val="28"/>
          <w:szCs w:val="28"/>
        </w:rPr>
      </w:pPr>
      <w:r>
        <w:rPr>
          <w:rFonts w:hint="eastAsia"/>
          <w:sz w:val="28"/>
          <w:szCs w:val="28"/>
        </w:rPr>
        <w:t>第一部分，总则，包括：前言、编制依据、目标任务、基本原则和规划范围。主要阐述当前水产养殖业面临形势，规划编制的相关背景和目的意义，规划编制依据的法律法规等，规划期限、目标和任务，规划遵循的主要原则，本地区养殖水域滩涂规划范围。</w:t>
      </w:r>
    </w:p>
    <w:p>
      <w:pPr>
        <w:ind w:firstLine="560" w:firstLineChars="200"/>
        <w:rPr>
          <w:sz w:val="28"/>
          <w:szCs w:val="28"/>
        </w:rPr>
      </w:pPr>
      <w:r>
        <w:rPr>
          <w:rFonts w:hint="eastAsia"/>
          <w:sz w:val="28"/>
          <w:szCs w:val="28"/>
        </w:rPr>
        <w:t>第二部分，养殖水域滩涂利用评价，包括：水域滩涂承载力分析、水产养殖产业发展分析、养殖水域滩涂开发总体思路。主要阐述水域滩涂资源状况、自然气候条件、水生生物资源状况和水环境状况，并根据现状进行水域滩涂承载力分析，形成评价结论，并分析水产养殖产业发展现状，提出养殖水域滩涂开发总体思路。</w:t>
      </w:r>
    </w:p>
    <w:p>
      <w:pPr>
        <w:ind w:firstLine="560" w:firstLineChars="200"/>
        <w:rPr>
          <w:sz w:val="28"/>
          <w:szCs w:val="28"/>
        </w:rPr>
      </w:pPr>
      <w:r>
        <w:rPr>
          <w:rFonts w:hint="eastAsia"/>
          <w:sz w:val="28"/>
          <w:szCs w:val="28"/>
        </w:rPr>
        <w:t>第三部分，养殖水域滩涂功能区划，包括：功能区划概述、禁止养殖区、限制养殖区、养殖区。主要阐述禁养区、限养区和养殖区的三区划分方法和开发保护重点，三区的类型、面积、位置、管控措施等，并分类列举二、三级功能区。</w:t>
      </w:r>
    </w:p>
    <w:p>
      <w:pPr>
        <w:ind w:firstLine="560" w:firstLineChars="200"/>
        <w:rPr>
          <w:sz w:val="28"/>
          <w:szCs w:val="28"/>
        </w:rPr>
      </w:pPr>
      <w:r>
        <w:rPr>
          <w:rFonts w:hint="eastAsia"/>
          <w:sz w:val="28"/>
          <w:szCs w:val="28"/>
        </w:rPr>
        <w:t>第四部分，保障措施。提出充分认识发展《规划》的重要意义，加强组织领导、强化监督检查、完善生态保护和其他保障措施，确保规划的顺利实施。</w:t>
      </w:r>
    </w:p>
    <w:p>
      <w:pPr>
        <w:ind w:firstLine="560" w:firstLineChars="200"/>
        <w:rPr>
          <w:sz w:val="28"/>
          <w:szCs w:val="28"/>
        </w:rPr>
      </w:pPr>
      <w:r>
        <w:rPr>
          <w:rFonts w:hint="eastAsia"/>
          <w:sz w:val="28"/>
          <w:szCs w:val="28"/>
        </w:rPr>
        <w:t>第五部分，附则。明确提出规划文本和图件的法律效力。</w:t>
      </w:r>
    </w:p>
    <w:p>
      <w:pPr>
        <w:ind w:firstLine="562" w:firstLineChars="200"/>
        <w:rPr>
          <w:b/>
          <w:sz w:val="28"/>
          <w:szCs w:val="28"/>
        </w:rPr>
      </w:pPr>
      <w:r>
        <w:rPr>
          <w:rFonts w:hint="eastAsia"/>
          <w:b/>
          <w:sz w:val="28"/>
          <w:szCs w:val="28"/>
        </w:rPr>
        <w:t>三、本次规划与原养殖规划的区别</w:t>
      </w:r>
    </w:p>
    <w:p>
      <w:pPr>
        <w:ind w:firstLine="560" w:firstLineChars="200"/>
        <w:rPr>
          <w:sz w:val="28"/>
          <w:szCs w:val="28"/>
        </w:rPr>
      </w:pPr>
      <w:r>
        <w:rPr>
          <w:rFonts w:hint="eastAsia"/>
          <w:sz w:val="28"/>
          <w:szCs w:val="28"/>
        </w:rPr>
        <w:t>1、编制目的不同。原养殖规划以产业发展为目的，以产业规划为主，主要关注养殖范围、品种和产业发展等，而本次规划编制以生态文明建设为目的，以空间规划为主，主要明确三区划分及养殖区域的具体面积和坐标，并明确管控措施，</w:t>
      </w:r>
    </w:p>
    <w:p>
      <w:pPr>
        <w:ind w:firstLine="560" w:firstLineChars="200"/>
        <w:rPr>
          <w:sz w:val="28"/>
          <w:szCs w:val="28"/>
        </w:rPr>
      </w:pPr>
      <w:r>
        <w:rPr>
          <w:rFonts w:hint="eastAsia"/>
          <w:sz w:val="28"/>
          <w:szCs w:val="28"/>
        </w:rPr>
        <w:t>2、功能区划不同。原养殖规划仅进行养殖区域和水域类型的划分，粗略设置养殖范围，本次规划将榆阳区所有可进行养殖的区域按照《养殖水域滩涂功能区划表》进行三区划分，通过GIS地图精确划定了三区范围并明确了管控措施。</w:t>
      </w:r>
    </w:p>
    <w:p>
      <w:pPr>
        <w:ind w:firstLine="560" w:firstLineChars="200"/>
        <w:rPr>
          <w:sz w:val="28"/>
          <w:szCs w:val="28"/>
        </w:rPr>
      </w:pPr>
      <w:r>
        <w:rPr>
          <w:rFonts w:hint="eastAsia"/>
          <w:sz w:val="28"/>
          <w:szCs w:val="28"/>
        </w:rPr>
        <w:t>3、编制成果不同。原养殖规划成果为规划表及文本，本次规划成果不仅包含规划表及相关文本，同时包含基于GIS地图的详细三区规划图和现状图，能够更加准确和直观地查看本地的养殖现状和规划面积。</w:t>
      </w:r>
    </w:p>
    <w:p>
      <w:pPr>
        <w:ind w:firstLine="562" w:firstLineChars="200"/>
        <w:rPr>
          <w:b/>
          <w:sz w:val="28"/>
          <w:szCs w:val="28"/>
        </w:rPr>
      </w:pPr>
      <w:r>
        <w:rPr>
          <w:rFonts w:hint="eastAsia"/>
          <w:b/>
          <w:sz w:val="28"/>
          <w:szCs w:val="28"/>
        </w:rPr>
        <w:t>四、规划编制有关问题说明</w:t>
      </w:r>
    </w:p>
    <w:p>
      <w:pPr>
        <w:ind w:firstLine="560" w:firstLineChars="200"/>
        <w:rPr>
          <w:sz w:val="28"/>
          <w:szCs w:val="28"/>
        </w:rPr>
      </w:pPr>
      <w:r>
        <w:rPr>
          <w:rFonts w:hint="eastAsia"/>
          <w:sz w:val="28"/>
          <w:szCs w:val="28"/>
        </w:rPr>
        <w:t>1、与其他相关规划的衔接</w:t>
      </w:r>
    </w:p>
    <w:p>
      <w:pPr>
        <w:ind w:firstLine="560" w:firstLineChars="200"/>
        <w:rPr>
          <w:sz w:val="28"/>
          <w:szCs w:val="28"/>
        </w:rPr>
      </w:pPr>
      <w:r>
        <w:rPr>
          <w:rFonts w:hint="eastAsia"/>
          <w:sz w:val="28"/>
          <w:szCs w:val="28"/>
        </w:rPr>
        <w:t>《规划》编制工作过程中始终注重与部门的沟通，注意收集各部门的相关规划资料和征求意见，充分考虑各部门养殖水域滩涂的使用需求，注重与相关规划衔接。在规划编制过程中，严格按照功能区划、土地规划、水利规划和生态环保等相关要求进行三区的划定，使得规划中所有区域都有相关法律法规作为依托，不与上位法规和前置规划产生矛盾。</w:t>
      </w:r>
    </w:p>
    <w:p>
      <w:pPr>
        <w:ind w:firstLine="560" w:firstLineChars="200"/>
        <w:rPr>
          <w:sz w:val="28"/>
          <w:szCs w:val="28"/>
        </w:rPr>
      </w:pPr>
      <w:r>
        <w:rPr>
          <w:rFonts w:hint="eastAsia"/>
          <w:sz w:val="28"/>
          <w:szCs w:val="28"/>
        </w:rPr>
        <w:t>2、图件和水域类型</w:t>
      </w:r>
    </w:p>
    <w:p>
      <w:pPr>
        <w:ind w:firstLine="560" w:firstLineChars="200"/>
        <w:rPr>
          <w:sz w:val="28"/>
          <w:szCs w:val="28"/>
        </w:rPr>
      </w:pPr>
      <w:r>
        <w:rPr>
          <w:rFonts w:hint="eastAsia"/>
          <w:sz w:val="28"/>
          <w:szCs w:val="28"/>
        </w:rPr>
        <w:t>根据农业部《工作规范》和陕西水域分布和利用状况实际，现状图中的各水域类型和各类水域养殖面积参考年报数据。分为池塘养殖区、湖泊养殖区、水库养殖区，不设其它养殖区。</w:t>
      </w:r>
    </w:p>
    <w:p>
      <w:pPr>
        <w:ind w:firstLine="560" w:firstLineChars="200"/>
        <w:rPr>
          <w:sz w:val="28"/>
          <w:szCs w:val="28"/>
        </w:rPr>
      </w:pPr>
      <w:r>
        <w:rPr>
          <w:rFonts w:hint="eastAsia"/>
          <w:sz w:val="28"/>
          <w:szCs w:val="28"/>
        </w:rPr>
        <w:t>3、表格及分类代码</w:t>
      </w:r>
    </w:p>
    <w:p>
      <w:pPr>
        <w:ind w:firstLine="560" w:firstLineChars="200"/>
        <w:rPr>
          <w:sz w:val="28"/>
          <w:szCs w:val="28"/>
        </w:rPr>
      </w:pPr>
      <w:r>
        <w:rPr>
          <w:rFonts w:hint="eastAsia"/>
          <w:sz w:val="28"/>
          <w:szCs w:val="28"/>
        </w:rPr>
        <w:t>规划中各类水域用表格列举，表格组成为代码、面积（亩）、GIS 中心坐标以及管控措施。限制养殖区相关表格中的区块面积为可养面积数值，可养面积数值计算如下：湖泊、水库按1%计算。</w:t>
      </w:r>
    </w:p>
    <w:p>
      <w:pPr>
        <w:ind w:firstLine="560" w:firstLineChars="200"/>
        <w:rPr>
          <w:sz w:val="28"/>
          <w:szCs w:val="28"/>
        </w:rPr>
      </w:pPr>
      <w:r>
        <w:rPr>
          <w:rFonts w:hint="eastAsia"/>
          <w:sz w:val="28"/>
          <w:szCs w:val="28"/>
        </w:rPr>
        <w:t>4、禁养区中已养区域的退养措施</w:t>
      </w:r>
    </w:p>
    <w:p>
      <w:pPr>
        <w:ind w:firstLine="560" w:firstLineChars="200"/>
      </w:pPr>
      <w:r>
        <w:rPr>
          <w:rFonts w:hint="eastAsia"/>
          <w:sz w:val="28"/>
          <w:szCs w:val="28"/>
        </w:rPr>
        <w:t>禁止养殖区内已有的水产养殖区域，由榆阳区人民政府及相关部门负责将其关停，关停造成养殖生产者经济损失的应依法给予补偿。</w:t>
      </w:r>
    </w:p>
    <w:p>
      <w:pPr>
        <w:ind w:firstLine="420" w:firstLineChars="200"/>
        <w:sectPr>
          <w:pgSz w:w="11906" w:h="16838"/>
          <w:pgMar w:top="1440" w:right="1800" w:bottom="1440" w:left="1800" w:header="851" w:footer="992" w:gutter="0"/>
          <w:cols w:space="720" w:num="1"/>
          <w:docGrid w:type="lines" w:linePitch="312" w:charSpace="0"/>
        </w:sectPr>
      </w:pPr>
    </w:p>
    <w:p>
      <w:pPr>
        <w:jc w:val="left"/>
        <w:outlineLvl w:val="0"/>
        <w:rPr>
          <w:rFonts w:ascii="黑体" w:eastAsia="黑体"/>
          <w:sz w:val="32"/>
          <w:szCs w:val="32"/>
        </w:rPr>
      </w:pPr>
      <w:bookmarkStart w:id="64" w:name="_Toc529609972"/>
      <w:bookmarkStart w:id="65" w:name="_Toc532809877"/>
      <w:r>
        <w:rPr>
          <w:rFonts w:hint="eastAsia" w:ascii="黑体" w:eastAsia="黑体"/>
          <w:sz w:val="32"/>
          <w:szCs w:val="32"/>
        </w:rPr>
        <w:t>附表</w:t>
      </w:r>
      <w:bookmarkEnd w:id="64"/>
      <w:bookmarkEnd w:id="65"/>
    </w:p>
    <w:p>
      <w:pPr>
        <w:spacing w:afterLines="100" w:line="360" w:lineRule="auto"/>
        <w:jc w:val="center"/>
        <w:outlineLvl w:val="1"/>
        <w:rPr>
          <w:b/>
          <w:sz w:val="24"/>
          <w:szCs w:val="24"/>
        </w:rPr>
      </w:pPr>
      <w:bookmarkStart w:id="66" w:name="_Toc532809878"/>
      <w:r>
        <w:rPr>
          <w:rFonts w:hint="eastAsia"/>
          <w:b/>
          <w:sz w:val="24"/>
          <w:szCs w:val="24"/>
        </w:rPr>
        <w:t>表1 陕西省养殖水域滩涂功能区划表</w:t>
      </w:r>
      <w:bookmarkEnd w:id="66"/>
    </w:p>
    <w:tbl>
      <w:tblPr>
        <w:tblStyle w:val="11"/>
        <w:tblW w:w="8297" w:type="dxa"/>
        <w:jc w:val="center"/>
        <w:tblInd w:w="0" w:type="dxa"/>
        <w:tblLayout w:type="fixed"/>
        <w:tblCellMar>
          <w:top w:w="0" w:type="dxa"/>
          <w:left w:w="108" w:type="dxa"/>
          <w:bottom w:w="0" w:type="dxa"/>
          <w:right w:w="108" w:type="dxa"/>
        </w:tblCellMar>
      </w:tblPr>
      <w:tblGrid>
        <w:gridCol w:w="792"/>
        <w:gridCol w:w="890"/>
        <w:gridCol w:w="709"/>
        <w:gridCol w:w="2236"/>
        <w:gridCol w:w="992"/>
        <w:gridCol w:w="2678"/>
      </w:tblGrid>
      <w:tr>
        <w:tblPrEx>
          <w:tblLayout w:type="fixed"/>
          <w:tblCellMar>
            <w:top w:w="0" w:type="dxa"/>
            <w:left w:w="108" w:type="dxa"/>
            <w:bottom w:w="0" w:type="dxa"/>
            <w:right w:w="108" w:type="dxa"/>
          </w:tblCellMar>
        </w:tblPrEx>
        <w:trPr>
          <w:trHeight w:val="546" w:hRule="atLeast"/>
          <w:jc w:val="center"/>
        </w:trPr>
        <w:tc>
          <w:tcPr>
            <w:tcW w:w="168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一级</w:t>
            </w:r>
          </w:p>
        </w:tc>
        <w:tc>
          <w:tcPr>
            <w:tcW w:w="2945"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二级</w:t>
            </w:r>
          </w:p>
        </w:tc>
        <w:tc>
          <w:tcPr>
            <w:tcW w:w="367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三级</w:t>
            </w:r>
          </w:p>
        </w:tc>
      </w:tr>
      <w:tr>
        <w:tblPrEx>
          <w:tblLayout w:type="fixed"/>
          <w:tblCellMar>
            <w:top w:w="0" w:type="dxa"/>
            <w:left w:w="108" w:type="dxa"/>
            <w:bottom w:w="0" w:type="dxa"/>
            <w:right w:w="108" w:type="dxa"/>
          </w:tblCellMar>
        </w:tblPrEx>
        <w:trPr>
          <w:trHeight w:val="706" w:hRule="atLeast"/>
          <w:jc w:val="center"/>
        </w:trPr>
        <w:tc>
          <w:tcPr>
            <w:tcW w:w="792" w:type="dxa"/>
            <w:tcBorders>
              <w:top w:val="nil"/>
              <w:left w:val="single" w:color="auto" w:sz="4" w:space="0"/>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代码</w:t>
            </w:r>
          </w:p>
        </w:tc>
        <w:tc>
          <w:tcPr>
            <w:tcW w:w="890" w:type="dxa"/>
            <w:tcBorders>
              <w:top w:val="nil"/>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名称</w:t>
            </w:r>
          </w:p>
        </w:tc>
        <w:tc>
          <w:tcPr>
            <w:tcW w:w="709" w:type="dxa"/>
            <w:tcBorders>
              <w:top w:val="nil"/>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代码</w:t>
            </w:r>
          </w:p>
        </w:tc>
        <w:tc>
          <w:tcPr>
            <w:tcW w:w="2236" w:type="dxa"/>
            <w:tcBorders>
              <w:top w:val="nil"/>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名称</w:t>
            </w:r>
          </w:p>
        </w:tc>
        <w:tc>
          <w:tcPr>
            <w:tcW w:w="992" w:type="dxa"/>
            <w:tcBorders>
              <w:top w:val="nil"/>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代码</w:t>
            </w:r>
          </w:p>
        </w:tc>
        <w:tc>
          <w:tcPr>
            <w:tcW w:w="2678" w:type="dxa"/>
            <w:tcBorders>
              <w:top w:val="nil"/>
              <w:left w:val="nil"/>
              <w:bottom w:val="single" w:color="auto" w:sz="4" w:space="0"/>
              <w:right w:val="single" w:color="auto" w:sz="4" w:space="0"/>
            </w:tcBorders>
            <w:noWrap w:val="0"/>
            <w:vAlign w:val="center"/>
          </w:tcPr>
          <w:p>
            <w:pPr>
              <w:widowControl/>
              <w:jc w:val="center"/>
              <w:rPr>
                <w:rFonts w:eastAsia="黑体"/>
                <w:color w:val="000000"/>
                <w:kern w:val="0"/>
                <w:sz w:val="24"/>
              </w:rPr>
            </w:pPr>
            <w:r>
              <w:rPr>
                <w:rFonts w:eastAsia="黑体"/>
                <w:color w:val="000000"/>
                <w:kern w:val="0"/>
                <w:sz w:val="24"/>
              </w:rPr>
              <w:t>名称</w:t>
            </w:r>
          </w:p>
        </w:tc>
      </w:tr>
      <w:tr>
        <w:tblPrEx>
          <w:tblLayout w:type="fixed"/>
          <w:tblCellMar>
            <w:top w:w="0" w:type="dxa"/>
            <w:left w:w="108" w:type="dxa"/>
            <w:bottom w:w="0" w:type="dxa"/>
            <w:right w:w="108" w:type="dxa"/>
          </w:tblCellMar>
        </w:tblPrEx>
        <w:trPr>
          <w:trHeight w:val="606" w:hRule="atLeast"/>
          <w:jc w:val="center"/>
        </w:trPr>
        <w:tc>
          <w:tcPr>
            <w:tcW w:w="792"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1</w:t>
            </w:r>
          </w:p>
        </w:tc>
        <w:tc>
          <w:tcPr>
            <w:tcW w:w="890"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禁养区</w:t>
            </w:r>
          </w:p>
        </w:tc>
        <w:tc>
          <w:tcPr>
            <w:tcW w:w="709"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1—1</w:t>
            </w:r>
          </w:p>
        </w:tc>
        <w:tc>
          <w:tcPr>
            <w:tcW w:w="5906"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szCs w:val="20"/>
              </w:rPr>
            </w:pPr>
            <w:r>
              <w:rPr>
                <w:rFonts w:hint="eastAsia"/>
                <w:color w:val="000000"/>
                <w:kern w:val="0"/>
                <w:sz w:val="20"/>
                <w:szCs w:val="20"/>
              </w:rPr>
              <w:t>在饮用水水源地一级保护区、自然保护区核心区和缓冲区、国家级水产种质资源保护区核心区和未批准利用的无居民海岛等重点生态功能区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1—2</w:t>
            </w:r>
          </w:p>
        </w:tc>
        <w:tc>
          <w:tcPr>
            <w:tcW w:w="5906"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szCs w:val="20"/>
              </w:rPr>
            </w:pPr>
            <w:r>
              <w:rPr>
                <w:rFonts w:hint="eastAsia"/>
                <w:color w:val="000000"/>
                <w:kern w:val="0"/>
                <w:sz w:val="20"/>
                <w:szCs w:val="20"/>
              </w:rPr>
              <w:t>港口、航道、行洪区、河道堤防安全保护区等公共设施安全区域</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1—3</w:t>
            </w:r>
          </w:p>
        </w:tc>
        <w:tc>
          <w:tcPr>
            <w:tcW w:w="5906"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szCs w:val="20"/>
              </w:rPr>
            </w:pPr>
            <w:r>
              <w:rPr>
                <w:color w:val="000000"/>
                <w:kern w:val="0"/>
                <w:sz w:val="20"/>
                <w:szCs w:val="20"/>
              </w:rPr>
              <w:t>有毒有害物质超过规定标准的水体</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1—4</w:t>
            </w:r>
          </w:p>
        </w:tc>
        <w:tc>
          <w:tcPr>
            <w:tcW w:w="5906"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szCs w:val="20"/>
              </w:rPr>
            </w:pPr>
            <w:r>
              <w:rPr>
                <w:color w:val="000000"/>
                <w:kern w:val="0"/>
                <w:sz w:val="20"/>
                <w:szCs w:val="20"/>
              </w:rPr>
              <w:t>法律法规及文件规定的其他禁止养殖区</w:t>
            </w:r>
          </w:p>
        </w:tc>
      </w:tr>
      <w:tr>
        <w:tblPrEx>
          <w:tblLayout w:type="fixed"/>
          <w:tblCellMar>
            <w:top w:w="0" w:type="dxa"/>
            <w:left w:w="108" w:type="dxa"/>
            <w:bottom w:w="0" w:type="dxa"/>
            <w:right w:w="108" w:type="dxa"/>
          </w:tblCellMar>
        </w:tblPrEx>
        <w:trPr>
          <w:trHeight w:val="1209" w:hRule="atLeast"/>
          <w:jc w:val="center"/>
        </w:trPr>
        <w:tc>
          <w:tcPr>
            <w:tcW w:w="792"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2</w:t>
            </w:r>
          </w:p>
        </w:tc>
        <w:tc>
          <w:tcPr>
            <w:tcW w:w="890"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限养区</w:t>
            </w:r>
          </w:p>
        </w:tc>
        <w:tc>
          <w:tcPr>
            <w:tcW w:w="709"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2—1</w:t>
            </w:r>
          </w:p>
        </w:tc>
        <w:tc>
          <w:tcPr>
            <w:tcW w:w="5906" w:type="dxa"/>
            <w:gridSpan w:val="3"/>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szCs w:val="20"/>
              </w:rPr>
            </w:pPr>
            <w:r>
              <w:rPr>
                <w:rFonts w:hint="eastAsia"/>
                <w:color w:val="000000"/>
                <w:kern w:val="0"/>
                <w:sz w:val="20"/>
                <w:szCs w:val="20"/>
              </w:rPr>
              <w:t>饮用水水源二级保护区、自然保护区实验区和外围保护地带、国家级水产种质资源保护区实验区、风景名胜区、依法确定为开展旅游活动的可利用无居民海岛及其周边海域等生态功能区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vMerge w:val="restart"/>
            <w:tcBorders>
              <w:top w:val="nil"/>
              <w:left w:val="nil"/>
              <w:right w:val="single" w:color="auto" w:sz="4" w:space="0"/>
            </w:tcBorders>
            <w:noWrap w:val="0"/>
            <w:vAlign w:val="center"/>
          </w:tcPr>
          <w:p>
            <w:pPr>
              <w:widowControl/>
              <w:jc w:val="center"/>
              <w:rPr>
                <w:color w:val="000000"/>
                <w:kern w:val="0"/>
                <w:sz w:val="20"/>
                <w:szCs w:val="20"/>
              </w:rPr>
            </w:pPr>
            <w:r>
              <w:rPr>
                <w:color w:val="000000"/>
                <w:kern w:val="0"/>
                <w:sz w:val="20"/>
                <w:szCs w:val="20"/>
              </w:rPr>
              <w:t>2—2</w:t>
            </w:r>
          </w:p>
        </w:tc>
        <w:tc>
          <w:tcPr>
            <w:tcW w:w="2236" w:type="dxa"/>
            <w:vMerge w:val="restart"/>
            <w:tcBorders>
              <w:top w:val="single" w:color="auto" w:sz="4" w:space="0"/>
              <w:left w:val="nil"/>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重点湖泊水库及近岸海域公共自然水域</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2—2—</w:t>
            </w:r>
            <w:r>
              <w:rPr>
                <w:rFonts w:hint="eastAsia"/>
                <w:color w:val="000000"/>
                <w:kern w:val="0"/>
                <w:sz w:val="20"/>
                <w:szCs w:val="20"/>
              </w:rPr>
              <w:t>1</w:t>
            </w:r>
          </w:p>
        </w:tc>
        <w:tc>
          <w:tcPr>
            <w:tcW w:w="2678"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重点湖泊水库网箱养殖区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vMerge w:val="continue"/>
            <w:tcBorders>
              <w:left w:val="nil"/>
              <w:bottom w:val="single" w:color="auto" w:sz="4" w:space="0"/>
              <w:right w:val="single" w:color="auto" w:sz="4" w:space="0"/>
            </w:tcBorders>
            <w:noWrap w:val="0"/>
            <w:vAlign w:val="center"/>
          </w:tcPr>
          <w:p>
            <w:pPr>
              <w:widowControl/>
              <w:jc w:val="center"/>
              <w:rPr>
                <w:color w:val="000000"/>
                <w:kern w:val="0"/>
                <w:sz w:val="20"/>
                <w:szCs w:val="20"/>
              </w:rPr>
            </w:pPr>
          </w:p>
        </w:tc>
        <w:tc>
          <w:tcPr>
            <w:tcW w:w="2236" w:type="dxa"/>
            <w:vMerge w:val="continue"/>
            <w:tcBorders>
              <w:left w:val="nil"/>
              <w:bottom w:val="single" w:color="auto" w:sz="4" w:space="0"/>
              <w:right w:val="single" w:color="auto" w:sz="4" w:space="0"/>
            </w:tcBorders>
            <w:noWrap w:val="0"/>
            <w:vAlign w:val="center"/>
          </w:tcPr>
          <w:p>
            <w:pPr>
              <w:widowControl/>
              <w:jc w:val="center"/>
              <w:rPr>
                <w:color w:val="000000"/>
                <w:kern w:val="0"/>
                <w:sz w:val="20"/>
                <w:szCs w:val="20"/>
              </w:rPr>
            </w:pP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2—2—</w:t>
            </w:r>
            <w:r>
              <w:rPr>
                <w:rFonts w:hint="eastAsia"/>
                <w:color w:val="000000"/>
                <w:kern w:val="0"/>
                <w:sz w:val="20"/>
                <w:szCs w:val="20"/>
              </w:rPr>
              <w:t>2</w:t>
            </w:r>
          </w:p>
        </w:tc>
        <w:tc>
          <w:tcPr>
            <w:tcW w:w="2678"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重点近岸海域网箱养殖区</w:t>
            </w:r>
          </w:p>
        </w:tc>
      </w:tr>
      <w:tr>
        <w:tblPrEx>
          <w:tblLayout w:type="fixed"/>
          <w:tblCellMar>
            <w:top w:w="0" w:type="dxa"/>
            <w:left w:w="108" w:type="dxa"/>
            <w:bottom w:w="0" w:type="dxa"/>
            <w:right w:w="108" w:type="dxa"/>
          </w:tblCellMar>
        </w:tblPrEx>
        <w:trPr>
          <w:trHeight w:val="737" w:hRule="atLeast"/>
          <w:jc w:val="center"/>
        </w:trPr>
        <w:tc>
          <w:tcPr>
            <w:tcW w:w="792" w:type="dxa"/>
            <w:vMerge w:val="restart"/>
            <w:tcBorders>
              <w:top w:val="nil"/>
              <w:left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33</w:t>
            </w:r>
          </w:p>
        </w:tc>
        <w:tc>
          <w:tcPr>
            <w:tcW w:w="890" w:type="dxa"/>
            <w:vMerge w:val="restart"/>
            <w:tcBorders>
              <w:top w:val="nil"/>
              <w:left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养殖区</w:t>
            </w: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w:t>
            </w:r>
            <w:r>
              <w:rPr>
                <w:rFonts w:hint="eastAsia"/>
                <w:color w:val="000000"/>
                <w:kern w:val="0"/>
                <w:sz w:val="20"/>
                <w:szCs w:val="20"/>
              </w:rPr>
              <w:t>1</w:t>
            </w:r>
          </w:p>
        </w:tc>
        <w:tc>
          <w:tcPr>
            <w:tcW w:w="2236"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海水</w:t>
            </w:r>
            <w:r>
              <w:rPr>
                <w:color w:val="000000"/>
                <w:kern w:val="0"/>
                <w:sz w:val="20"/>
                <w:szCs w:val="20"/>
              </w:rPr>
              <w:t>养殖区</w:t>
            </w: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w:t>
            </w:r>
            <w:r>
              <w:rPr>
                <w:rFonts w:hint="eastAsia"/>
                <w:color w:val="000000"/>
                <w:kern w:val="0"/>
                <w:sz w:val="20"/>
                <w:szCs w:val="20"/>
              </w:rPr>
              <w:t>1</w:t>
            </w:r>
            <w:r>
              <w:rPr>
                <w:color w:val="000000"/>
                <w:kern w:val="0"/>
                <w:sz w:val="20"/>
                <w:szCs w:val="20"/>
              </w:rPr>
              <w:t>—1</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海上</w:t>
            </w:r>
            <w:r>
              <w:rPr>
                <w:color w:val="000000"/>
                <w:kern w:val="0"/>
                <w:sz w:val="20"/>
                <w:szCs w:val="20"/>
              </w:rPr>
              <w:t>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right w:val="single" w:color="auto" w:sz="4" w:space="0"/>
            </w:tcBorders>
            <w:noWrap w:val="0"/>
            <w:vAlign w:val="center"/>
          </w:tcPr>
          <w:p>
            <w:pPr>
              <w:jc w:val="center"/>
              <w:rPr>
                <w:color w:val="000000"/>
                <w:kern w:val="0"/>
                <w:sz w:val="20"/>
                <w:szCs w:val="20"/>
              </w:rPr>
            </w:pPr>
          </w:p>
        </w:tc>
        <w:tc>
          <w:tcPr>
            <w:tcW w:w="890" w:type="dxa"/>
            <w:vMerge w:val="continue"/>
            <w:tcBorders>
              <w:left w:val="single" w:color="auto" w:sz="4" w:space="0"/>
              <w:right w:val="single" w:color="auto" w:sz="4" w:space="0"/>
            </w:tcBorders>
            <w:noWrap w:val="0"/>
            <w:vAlign w:val="center"/>
          </w:tcPr>
          <w:p>
            <w:pPr>
              <w:jc w:val="center"/>
              <w:rPr>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2236"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w:t>
            </w:r>
            <w:r>
              <w:rPr>
                <w:rFonts w:hint="eastAsia"/>
                <w:color w:val="000000"/>
                <w:kern w:val="0"/>
                <w:sz w:val="20"/>
                <w:szCs w:val="20"/>
              </w:rPr>
              <w:t>1</w:t>
            </w:r>
            <w:r>
              <w:rPr>
                <w:color w:val="000000"/>
                <w:kern w:val="0"/>
                <w:sz w:val="20"/>
                <w:szCs w:val="20"/>
              </w:rPr>
              <w:t>—</w:t>
            </w:r>
            <w:r>
              <w:rPr>
                <w:rFonts w:hint="eastAsia"/>
                <w:color w:val="000000"/>
                <w:kern w:val="0"/>
                <w:sz w:val="20"/>
                <w:szCs w:val="20"/>
              </w:rPr>
              <w:t>2</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滩涂</w:t>
            </w:r>
            <w:r>
              <w:rPr>
                <w:color w:val="000000"/>
                <w:kern w:val="0"/>
                <w:sz w:val="20"/>
                <w:szCs w:val="20"/>
              </w:rPr>
              <w:t>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right w:val="single" w:color="auto" w:sz="4" w:space="0"/>
            </w:tcBorders>
            <w:noWrap w:val="0"/>
            <w:vAlign w:val="center"/>
          </w:tcPr>
          <w:p>
            <w:pPr>
              <w:jc w:val="center"/>
              <w:rPr>
                <w:color w:val="000000"/>
                <w:kern w:val="0"/>
                <w:sz w:val="20"/>
                <w:szCs w:val="20"/>
              </w:rPr>
            </w:pPr>
          </w:p>
        </w:tc>
        <w:tc>
          <w:tcPr>
            <w:tcW w:w="890" w:type="dxa"/>
            <w:vMerge w:val="continue"/>
            <w:tcBorders>
              <w:left w:val="single" w:color="auto" w:sz="4" w:space="0"/>
              <w:right w:val="single" w:color="auto" w:sz="4" w:space="0"/>
            </w:tcBorders>
            <w:noWrap w:val="0"/>
            <w:vAlign w:val="center"/>
          </w:tcPr>
          <w:p>
            <w:pPr>
              <w:jc w:val="center"/>
              <w:rPr>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2236"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w:t>
            </w:r>
            <w:r>
              <w:rPr>
                <w:rFonts w:hint="eastAsia"/>
                <w:color w:val="000000"/>
                <w:kern w:val="0"/>
                <w:sz w:val="20"/>
                <w:szCs w:val="20"/>
              </w:rPr>
              <w:t>1</w:t>
            </w:r>
            <w:r>
              <w:rPr>
                <w:color w:val="000000"/>
                <w:kern w:val="0"/>
                <w:sz w:val="20"/>
                <w:szCs w:val="20"/>
              </w:rPr>
              <w:t>—</w:t>
            </w:r>
            <w:r>
              <w:rPr>
                <w:rFonts w:hint="eastAsia"/>
                <w:color w:val="000000"/>
                <w:kern w:val="0"/>
                <w:sz w:val="20"/>
                <w:szCs w:val="20"/>
              </w:rPr>
              <w:t>3</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陆地养殖区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right w:val="single" w:color="auto" w:sz="4" w:space="0"/>
            </w:tcBorders>
            <w:noWrap w:val="0"/>
            <w:vAlign w:val="center"/>
          </w:tcPr>
          <w:p>
            <w:pPr>
              <w:widowControl/>
              <w:jc w:val="center"/>
              <w:rPr>
                <w:color w:val="000000"/>
                <w:kern w:val="0"/>
                <w:sz w:val="20"/>
                <w:szCs w:val="20"/>
              </w:rPr>
            </w:pPr>
          </w:p>
        </w:tc>
        <w:tc>
          <w:tcPr>
            <w:tcW w:w="890" w:type="dxa"/>
            <w:vMerge w:val="continue"/>
            <w:tcBorders>
              <w:left w:val="single" w:color="auto" w:sz="4" w:space="0"/>
              <w:right w:val="single" w:color="auto" w:sz="4" w:space="0"/>
            </w:tcBorders>
            <w:noWrap w:val="0"/>
            <w:vAlign w:val="center"/>
          </w:tcPr>
          <w:p>
            <w:pPr>
              <w:widowControl/>
              <w:jc w:val="center"/>
              <w:rPr>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3—2</w:t>
            </w:r>
          </w:p>
        </w:tc>
        <w:tc>
          <w:tcPr>
            <w:tcW w:w="2236" w:type="dxa"/>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淡水养殖区</w:t>
            </w: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3—2—1</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池塘养殖区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right w:val="single" w:color="auto" w:sz="4" w:space="0"/>
            </w:tcBorders>
            <w:noWrap w:val="0"/>
            <w:vAlign w:val="center"/>
          </w:tcPr>
          <w:p>
            <w:pPr>
              <w:widowControl/>
              <w:jc w:val="center"/>
              <w:rPr>
                <w:color w:val="000000"/>
                <w:kern w:val="0"/>
                <w:sz w:val="20"/>
                <w:szCs w:val="20"/>
              </w:rPr>
            </w:pPr>
          </w:p>
        </w:tc>
        <w:tc>
          <w:tcPr>
            <w:tcW w:w="890" w:type="dxa"/>
            <w:vMerge w:val="continue"/>
            <w:tcBorders>
              <w:left w:val="single" w:color="auto" w:sz="4" w:space="0"/>
              <w:right w:val="single" w:color="auto" w:sz="4" w:space="0"/>
            </w:tcBorders>
            <w:noWrap w:val="0"/>
            <w:vAlign w:val="center"/>
          </w:tcPr>
          <w:p>
            <w:pPr>
              <w:widowControl/>
              <w:jc w:val="center"/>
              <w:rPr>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p>
        </w:tc>
        <w:tc>
          <w:tcPr>
            <w:tcW w:w="223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3—2—</w:t>
            </w:r>
            <w:r>
              <w:rPr>
                <w:rFonts w:hint="eastAsia"/>
                <w:color w:val="000000"/>
                <w:kern w:val="0"/>
                <w:sz w:val="20"/>
                <w:szCs w:val="20"/>
              </w:rPr>
              <w:t>2</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湖泊养殖区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left w:val="single" w:color="auto" w:sz="4" w:space="0"/>
              <w:right w:val="single" w:color="auto" w:sz="4" w:space="0"/>
            </w:tcBorders>
            <w:noWrap w:val="0"/>
            <w:vAlign w:val="center"/>
          </w:tcPr>
          <w:p>
            <w:pPr>
              <w:widowControl/>
              <w:jc w:val="left"/>
              <w:rPr>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2236"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3—2—3</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水库养殖区</w:t>
            </w:r>
          </w:p>
        </w:tc>
      </w:tr>
      <w:tr>
        <w:tblPrEx>
          <w:tblLayout w:type="fixed"/>
          <w:tblCellMar>
            <w:top w:w="0" w:type="dxa"/>
            <w:left w:w="108" w:type="dxa"/>
            <w:bottom w:w="0" w:type="dxa"/>
            <w:right w:w="108" w:type="dxa"/>
          </w:tblCellMar>
        </w:tblPrEx>
        <w:trPr>
          <w:trHeight w:val="737" w:hRule="atLeast"/>
          <w:jc w:val="center"/>
        </w:trPr>
        <w:tc>
          <w:tcPr>
            <w:tcW w:w="792" w:type="dxa"/>
            <w:vMerge w:val="continue"/>
            <w:tcBorders>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890" w:type="dxa"/>
            <w:vMerge w:val="continue"/>
            <w:tcBorders>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2236" w:type="dxa"/>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color w:val="000000"/>
                <w:kern w:val="0"/>
                <w:sz w:val="20"/>
                <w:szCs w:val="20"/>
              </w:rPr>
              <w:t>3—2—4</w:t>
            </w:r>
          </w:p>
        </w:tc>
        <w:tc>
          <w:tcPr>
            <w:tcW w:w="2678" w:type="dxa"/>
            <w:tcBorders>
              <w:top w:val="nil"/>
              <w:left w:val="nil"/>
              <w:bottom w:val="single" w:color="auto" w:sz="4" w:space="0"/>
              <w:right w:val="single" w:color="auto" w:sz="4" w:space="0"/>
            </w:tcBorders>
            <w:noWrap w:val="0"/>
            <w:vAlign w:val="center"/>
          </w:tcPr>
          <w:p>
            <w:pPr>
              <w:widowControl/>
              <w:jc w:val="center"/>
              <w:rPr>
                <w:color w:val="000000"/>
                <w:kern w:val="0"/>
                <w:sz w:val="20"/>
                <w:szCs w:val="20"/>
              </w:rPr>
            </w:pPr>
            <w:r>
              <w:rPr>
                <w:rFonts w:hint="eastAsia"/>
                <w:color w:val="000000"/>
                <w:kern w:val="0"/>
                <w:sz w:val="20"/>
                <w:szCs w:val="20"/>
              </w:rPr>
              <w:t>其他养殖区</w:t>
            </w:r>
          </w:p>
        </w:tc>
      </w:tr>
    </w:tbl>
    <w:p>
      <w:pPr>
        <w:rPr>
          <w:b/>
        </w:rPr>
      </w:pPr>
    </w:p>
    <w:p>
      <w:pPr>
        <w:rPr>
          <w:b/>
        </w:rPr>
      </w:pPr>
    </w:p>
    <w:p>
      <w:pPr>
        <w:rPr>
          <w:b/>
        </w:rPr>
      </w:pPr>
    </w:p>
    <w:p>
      <w:pPr>
        <w:rPr>
          <w:b/>
        </w:rPr>
      </w:pPr>
    </w:p>
    <w:p>
      <w:pPr>
        <w:spacing w:afterLines="50" w:line="360" w:lineRule="auto"/>
        <w:jc w:val="center"/>
        <w:outlineLvl w:val="1"/>
        <w:rPr>
          <w:b/>
          <w:sz w:val="24"/>
          <w:szCs w:val="24"/>
        </w:rPr>
      </w:pPr>
      <w:bookmarkStart w:id="67" w:name="_Toc532809879"/>
      <w:r>
        <w:rPr>
          <w:rFonts w:hint="eastAsia"/>
          <w:b/>
          <w:sz w:val="24"/>
          <w:szCs w:val="24"/>
        </w:rPr>
        <w:t>表2 养殖水域滩涂规划表</w:t>
      </w:r>
      <w:bookmarkEnd w:id="67"/>
    </w:p>
    <w:p>
      <w:pPr>
        <w:jc w:val="right"/>
        <w:rPr>
          <w:b/>
        </w:rPr>
      </w:pPr>
      <w:r>
        <w:rPr>
          <w:rFonts w:hint="eastAsia"/>
          <w:b/>
        </w:rPr>
        <w:t>单位：亩</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项目</w:t>
            </w:r>
          </w:p>
        </w:tc>
        <w:tc>
          <w:tcPr>
            <w:tcW w:w="1704" w:type="dxa"/>
            <w:noWrap w:val="0"/>
            <w:vAlign w:val="center"/>
          </w:tcPr>
          <w:p>
            <w:pPr>
              <w:jc w:val="center"/>
              <w:rPr>
                <w:b/>
              </w:rPr>
            </w:pPr>
            <w:r>
              <w:rPr>
                <w:rFonts w:hint="eastAsia"/>
                <w:b/>
              </w:rPr>
              <w:t>禁养区</w:t>
            </w:r>
          </w:p>
        </w:tc>
        <w:tc>
          <w:tcPr>
            <w:tcW w:w="1704" w:type="dxa"/>
            <w:noWrap w:val="0"/>
            <w:vAlign w:val="center"/>
          </w:tcPr>
          <w:p>
            <w:pPr>
              <w:jc w:val="center"/>
              <w:rPr>
                <w:b/>
              </w:rPr>
            </w:pPr>
            <w:r>
              <w:rPr>
                <w:rFonts w:hint="eastAsia"/>
                <w:b/>
              </w:rPr>
              <w:t>限养区</w:t>
            </w:r>
          </w:p>
        </w:tc>
        <w:tc>
          <w:tcPr>
            <w:tcW w:w="1705" w:type="dxa"/>
            <w:noWrap w:val="0"/>
            <w:vAlign w:val="center"/>
          </w:tcPr>
          <w:p>
            <w:pPr>
              <w:jc w:val="center"/>
              <w:rPr>
                <w:b/>
              </w:rPr>
            </w:pPr>
            <w:r>
              <w:rPr>
                <w:rFonts w:hint="eastAsia"/>
                <w:b/>
              </w:rPr>
              <w:t>养殖区</w:t>
            </w:r>
          </w:p>
        </w:tc>
        <w:tc>
          <w:tcPr>
            <w:tcW w:w="1705" w:type="dxa"/>
            <w:noWrap w:val="0"/>
            <w:vAlign w:val="center"/>
          </w:tcPr>
          <w:p>
            <w:pPr>
              <w:jc w:val="center"/>
              <w:rPr>
                <w:b/>
              </w:rPr>
            </w:pPr>
            <w:r>
              <w:rPr>
                <w:rFonts w:hint="eastAsia"/>
                <w:b/>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池塘养殖</w:t>
            </w:r>
          </w:p>
        </w:tc>
        <w:tc>
          <w:tcPr>
            <w:tcW w:w="1704" w:type="dxa"/>
            <w:noWrap w:val="0"/>
            <w:vAlign w:val="center"/>
          </w:tcPr>
          <w:p>
            <w:pPr>
              <w:jc w:val="center"/>
              <w:rPr>
                <w:b/>
              </w:rPr>
            </w:pPr>
            <w:r>
              <w:rPr>
                <w:rFonts w:hint="eastAsia"/>
                <w:b/>
              </w:rPr>
              <w:t>0</w:t>
            </w:r>
          </w:p>
        </w:tc>
        <w:tc>
          <w:tcPr>
            <w:tcW w:w="1704"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6103.16</w:t>
            </w:r>
          </w:p>
        </w:tc>
        <w:tc>
          <w:tcPr>
            <w:tcW w:w="1705" w:type="dxa"/>
            <w:noWrap w:val="0"/>
            <w:vAlign w:val="center"/>
          </w:tcPr>
          <w:p>
            <w:pPr>
              <w:jc w:val="center"/>
              <w:rPr>
                <w:b/>
              </w:rPr>
            </w:pPr>
            <w:r>
              <w:rPr>
                <w:rFonts w:hint="eastAsia"/>
                <w:b/>
              </w:rPr>
              <w:t>6103.16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湖泊养殖</w:t>
            </w:r>
          </w:p>
        </w:tc>
        <w:tc>
          <w:tcPr>
            <w:tcW w:w="1704" w:type="dxa"/>
            <w:noWrap w:val="0"/>
            <w:vAlign w:val="center"/>
          </w:tcPr>
          <w:p>
            <w:pPr>
              <w:jc w:val="center"/>
              <w:rPr>
                <w:b/>
                <w:highlight w:val="yellow"/>
              </w:rPr>
            </w:pPr>
            <w:r>
              <w:rPr>
                <w:rFonts w:hint="eastAsia"/>
                <w:b/>
              </w:rPr>
              <w:t>0</w:t>
            </w:r>
          </w:p>
        </w:tc>
        <w:tc>
          <w:tcPr>
            <w:tcW w:w="1704"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1821.37</w:t>
            </w:r>
          </w:p>
        </w:tc>
        <w:tc>
          <w:tcPr>
            <w:tcW w:w="1705" w:type="dxa"/>
            <w:noWrap w:val="0"/>
            <w:vAlign w:val="center"/>
          </w:tcPr>
          <w:p>
            <w:pPr>
              <w:jc w:val="center"/>
              <w:rPr>
                <w:b/>
              </w:rPr>
            </w:pPr>
            <w:r>
              <w:rPr>
                <w:rFonts w:hint="eastAsia"/>
                <w:b/>
              </w:rPr>
              <w:t>1821.37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水库养殖</w:t>
            </w:r>
          </w:p>
        </w:tc>
        <w:tc>
          <w:tcPr>
            <w:tcW w:w="1704" w:type="dxa"/>
            <w:noWrap w:val="0"/>
            <w:vAlign w:val="center"/>
          </w:tcPr>
          <w:p>
            <w:pPr>
              <w:jc w:val="center"/>
              <w:rPr>
                <w:b/>
              </w:rPr>
            </w:pPr>
            <w:r>
              <w:rPr>
                <w:rFonts w:hint="eastAsia"/>
                <w:b/>
              </w:rPr>
              <w:t>16426.79</w:t>
            </w:r>
          </w:p>
        </w:tc>
        <w:tc>
          <w:tcPr>
            <w:tcW w:w="1704" w:type="dxa"/>
            <w:noWrap w:val="0"/>
            <w:vAlign w:val="center"/>
          </w:tcPr>
          <w:p>
            <w:pPr>
              <w:jc w:val="center"/>
              <w:rPr>
                <w:b/>
              </w:rPr>
            </w:pPr>
            <w:r>
              <w:rPr>
                <w:rFonts w:hint="eastAsia"/>
                <w:b/>
              </w:rPr>
              <w:t>21171.19</w:t>
            </w:r>
          </w:p>
        </w:tc>
        <w:tc>
          <w:tcPr>
            <w:tcW w:w="1705" w:type="dxa"/>
            <w:noWrap w:val="0"/>
            <w:vAlign w:val="center"/>
          </w:tcPr>
          <w:p>
            <w:pPr>
              <w:jc w:val="center"/>
              <w:rPr>
                <w:b/>
              </w:rPr>
            </w:pPr>
            <w:r>
              <w:rPr>
                <w:rFonts w:hint="eastAsia"/>
                <w:b/>
              </w:rPr>
              <w:t>6965.02</w:t>
            </w:r>
          </w:p>
        </w:tc>
        <w:tc>
          <w:tcPr>
            <w:tcW w:w="1705" w:type="dxa"/>
            <w:noWrap w:val="0"/>
            <w:vAlign w:val="center"/>
          </w:tcPr>
          <w:p>
            <w:pPr>
              <w:jc w:val="center"/>
              <w:rPr>
                <w:b/>
              </w:rPr>
            </w:pPr>
            <w:r>
              <w:rPr>
                <w:rFonts w:hint="eastAsia"/>
                <w:b/>
              </w:rPr>
              <w:t>44563.00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稻田养殖</w:t>
            </w:r>
          </w:p>
        </w:tc>
        <w:tc>
          <w:tcPr>
            <w:tcW w:w="1704" w:type="dxa"/>
            <w:noWrap w:val="0"/>
            <w:vAlign w:val="center"/>
          </w:tcPr>
          <w:p>
            <w:pPr>
              <w:jc w:val="center"/>
              <w:rPr>
                <w:b/>
              </w:rPr>
            </w:pPr>
            <w:r>
              <w:rPr>
                <w:rFonts w:hint="eastAsia"/>
                <w:b/>
              </w:rPr>
              <w:t>0</w:t>
            </w:r>
          </w:p>
        </w:tc>
        <w:tc>
          <w:tcPr>
            <w:tcW w:w="1704"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合计</w:t>
            </w:r>
          </w:p>
        </w:tc>
        <w:tc>
          <w:tcPr>
            <w:tcW w:w="1704" w:type="dxa"/>
            <w:noWrap w:val="0"/>
            <w:vAlign w:val="center"/>
          </w:tcPr>
          <w:p>
            <w:pPr>
              <w:jc w:val="center"/>
              <w:rPr>
                <w:b/>
              </w:rPr>
            </w:pPr>
            <w:r>
              <w:rPr>
                <w:rFonts w:hint="eastAsia"/>
                <w:b/>
              </w:rPr>
              <w:t>16426.79</w:t>
            </w:r>
          </w:p>
        </w:tc>
        <w:tc>
          <w:tcPr>
            <w:tcW w:w="1704" w:type="dxa"/>
            <w:noWrap w:val="0"/>
            <w:vAlign w:val="center"/>
          </w:tcPr>
          <w:p>
            <w:pPr>
              <w:jc w:val="center"/>
              <w:rPr>
                <w:b/>
              </w:rPr>
            </w:pPr>
            <w:r>
              <w:rPr>
                <w:rFonts w:hint="eastAsia"/>
                <w:b/>
              </w:rPr>
              <w:t>21171.19</w:t>
            </w:r>
          </w:p>
        </w:tc>
        <w:tc>
          <w:tcPr>
            <w:tcW w:w="1705" w:type="dxa"/>
            <w:noWrap w:val="0"/>
            <w:vAlign w:val="center"/>
          </w:tcPr>
          <w:p>
            <w:pPr>
              <w:jc w:val="center"/>
              <w:rPr>
                <w:b/>
              </w:rPr>
            </w:pPr>
            <w:r>
              <w:rPr>
                <w:rFonts w:hint="eastAsia"/>
                <w:b/>
              </w:rPr>
              <w:t>14889.55</w:t>
            </w:r>
          </w:p>
        </w:tc>
        <w:tc>
          <w:tcPr>
            <w:tcW w:w="1705" w:type="dxa"/>
            <w:noWrap w:val="0"/>
            <w:vAlign w:val="center"/>
          </w:tcPr>
          <w:p>
            <w:pPr>
              <w:jc w:val="center"/>
              <w:rPr>
                <w:b/>
              </w:rPr>
            </w:pPr>
            <w:r>
              <w:rPr>
                <w:rFonts w:hint="eastAsia"/>
                <w:b/>
              </w:rPr>
              <w:t>52487.53</w:t>
            </w:r>
          </w:p>
        </w:tc>
      </w:tr>
    </w:tbl>
    <w:p>
      <w:pPr>
        <w:rPr>
          <w:b/>
        </w:rPr>
      </w:pPr>
    </w:p>
    <w:p>
      <w:pPr>
        <w:rPr>
          <w:b/>
        </w:rPr>
      </w:pPr>
    </w:p>
    <w:p>
      <w:pPr>
        <w:rPr>
          <w:b/>
        </w:rPr>
      </w:pPr>
    </w:p>
    <w:p>
      <w:pPr>
        <w:rPr>
          <w:b/>
        </w:rPr>
      </w:pPr>
    </w:p>
    <w:p>
      <w:pPr>
        <w:rPr>
          <w:b/>
        </w:rPr>
      </w:pPr>
    </w:p>
    <w:p>
      <w:pPr>
        <w:rPr>
          <w:b/>
        </w:rPr>
      </w:pPr>
    </w:p>
    <w:p>
      <w:pPr>
        <w:spacing w:afterLines="50" w:line="360" w:lineRule="auto"/>
        <w:jc w:val="center"/>
        <w:outlineLvl w:val="1"/>
        <w:rPr>
          <w:b/>
          <w:sz w:val="24"/>
          <w:szCs w:val="24"/>
        </w:rPr>
      </w:pPr>
      <w:bookmarkStart w:id="68" w:name="_Toc532809880"/>
      <w:r>
        <w:rPr>
          <w:rFonts w:hint="eastAsia"/>
          <w:b/>
          <w:sz w:val="24"/>
          <w:szCs w:val="24"/>
        </w:rPr>
        <w:t>表3 水域滩涂养殖现状与规划对比表</w:t>
      </w:r>
      <w:bookmarkEnd w:id="68"/>
    </w:p>
    <w:p>
      <w:pPr>
        <w:jc w:val="right"/>
        <w:rPr>
          <w:b/>
        </w:rPr>
      </w:pPr>
      <w:r>
        <w:rPr>
          <w:rFonts w:hint="eastAsia"/>
          <w:b/>
        </w:rPr>
        <w:t>单位：亩</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项目</w:t>
            </w:r>
          </w:p>
        </w:tc>
        <w:tc>
          <w:tcPr>
            <w:tcW w:w="1704" w:type="dxa"/>
            <w:noWrap w:val="0"/>
            <w:vAlign w:val="center"/>
          </w:tcPr>
          <w:p>
            <w:pPr>
              <w:jc w:val="center"/>
              <w:rPr>
                <w:b/>
              </w:rPr>
            </w:pPr>
            <w:r>
              <w:rPr>
                <w:rFonts w:hint="eastAsia"/>
                <w:b/>
              </w:rPr>
              <w:t>现状面积</w:t>
            </w:r>
          </w:p>
        </w:tc>
        <w:tc>
          <w:tcPr>
            <w:tcW w:w="1704" w:type="dxa"/>
            <w:noWrap w:val="0"/>
            <w:vAlign w:val="center"/>
          </w:tcPr>
          <w:p>
            <w:pPr>
              <w:jc w:val="center"/>
              <w:rPr>
                <w:b/>
              </w:rPr>
            </w:pPr>
            <w:r>
              <w:rPr>
                <w:rFonts w:hint="eastAsia"/>
                <w:b/>
              </w:rPr>
              <w:t>规划养殖面积</w:t>
            </w:r>
          </w:p>
        </w:tc>
        <w:tc>
          <w:tcPr>
            <w:tcW w:w="1705" w:type="dxa"/>
            <w:noWrap w:val="0"/>
            <w:vAlign w:val="center"/>
          </w:tcPr>
          <w:p>
            <w:pPr>
              <w:jc w:val="center"/>
              <w:rPr>
                <w:b/>
              </w:rPr>
            </w:pPr>
            <w:r>
              <w:rPr>
                <w:rFonts w:hint="eastAsia"/>
                <w:b/>
              </w:rPr>
              <w:t>变化面积</w:t>
            </w:r>
          </w:p>
        </w:tc>
        <w:tc>
          <w:tcPr>
            <w:tcW w:w="1705" w:type="dxa"/>
            <w:noWrap w:val="0"/>
            <w:vAlign w:val="center"/>
          </w:tcPr>
          <w:p>
            <w:pPr>
              <w:jc w:val="center"/>
              <w:rPr>
                <w:b/>
              </w:rPr>
            </w:pPr>
            <w:r>
              <w:rPr>
                <w:rFonts w:hint="eastAsia"/>
                <w:b/>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池塘养殖</w:t>
            </w:r>
          </w:p>
        </w:tc>
        <w:tc>
          <w:tcPr>
            <w:tcW w:w="1704" w:type="dxa"/>
            <w:noWrap w:val="0"/>
            <w:vAlign w:val="center"/>
          </w:tcPr>
          <w:p>
            <w:pPr>
              <w:jc w:val="center"/>
              <w:rPr>
                <w:b/>
              </w:rPr>
            </w:pPr>
            <w:r>
              <w:rPr>
                <w:rFonts w:hint="eastAsia"/>
                <w:b/>
              </w:rPr>
              <w:t>6103.16</w:t>
            </w:r>
          </w:p>
        </w:tc>
        <w:tc>
          <w:tcPr>
            <w:tcW w:w="1704" w:type="dxa"/>
            <w:noWrap w:val="0"/>
            <w:vAlign w:val="center"/>
          </w:tcPr>
          <w:p>
            <w:pPr>
              <w:jc w:val="center"/>
              <w:rPr>
                <w:b/>
              </w:rPr>
            </w:pPr>
            <w:r>
              <w:rPr>
                <w:rFonts w:hint="eastAsia"/>
                <w:b/>
              </w:rPr>
              <w:t>6103.16</w:t>
            </w:r>
          </w:p>
        </w:tc>
        <w:tc>
          <w:tcPr>
            <w:tcW w:w="1705"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湖泊养殖</w:t>
            </w:r>
          </w:p>
        </w:tc>
        <w:tc>
          <w:tcPr>
            <w:tcW w:w="1704" w:type="dxa"/>
            <w:noWrap w:val="0"/>
            <w:vAlign w:val="center"/>
          </w:tcPr>
          <w:p>
            <w:pPr>
              <w:jc w:val="center"/>
              <w:rPr>
                <w:b/>
              </w:rPr>
            </w:pPr>
            <w:r>
              <w:rPr>
                <w:rFonts w:hint="eastAsia"/>
                <w:b/>
              </w:rPr>
              <w:t>1821.37</w:t>
            </w:r>
          </w:p>
        </w:tc>
        <w:tc>
          <w:tcPr>
            <w:tcW w:w="1704" w:type="dxa"/>
            <w:noWrap w:val="0"/>
            <w:vAlign w:val="center"/>
          </w:tcPr>
          <w:p>
            <w:pPr>
              <w:jc w:val="center"/>
              <w:rPr>
                <w:b/>
              </w:rPr>
            </w:pPr>
            <w:r>
              <w:rPr>
                <w:rFonts w:hint="eastAsia"/>
                <w:b/>
              </w:rPr>
              <w:t>1821.37</w:t>
            </w:r>
          </w:p>
        </w:tc>
        <w:tc>
          <w:tcPr>
            <w:tcW w:w="1705"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水库养殖</w:t>
            </w:r>
          </w:p>
        </w:tc>
        <w:tc>
          <w:tcPr>
            <w:tcW w:w="1704" w:type="dxa"/>
            <w:noWrap w:val="0"/>
            <w:vAlign w:val="center"/>
          </w:tcPr>
          <w:p>
            <w:pPr>
              <w:jc w:val="center"/>
              <w:rPr>
                <w:b/>
              </w:rPr>
            </w:pPr>
            <w:r>
              <w:rPr>
                <w:rFonts w:hint="eastAsia"/>
                <w:b/>
              </w:rPr>
              <w:t>28136.21</w:t>
            </w:r>
          </w:p>
        </w:tc>
        <w:tc>
          <w:tcPr>
            <w:tcW w:w="1704" w:type="dxa"/>
            <w:noWrap w:val="0"/>
            <w:vAlign w:val="center"/>
          </w:tcPr>
          <w:p>
            <w:pPr>
              <w:jc w:val="center"/>
              <w:rPr>
                <w:b/>
              </w:rPr>
            </w:pPr>
            <w:r>
              <w:rPr>
                <w:rFonts w:hint="eastAsia"/>
                <w:b/>
              </w:rPr>
              <w:t>7176.73</w:t>
            </w:r>
          </w:p>
        </w:tc>
        <w:tc>
          <w:tcPr>
            <w:tcW w:w="1705" w:type="dxa"/>
            <w:noWrap w:val="0"/>
            <w:vAlign w:val="center"/>
          </w:tcPr>
          <w:p>
            <w:pPr>
              <w:jc w:val="center"/>
              <w:rPr>
                <w:b/>
              </w:rPr>
            </w:pPr>
            <w:r>
              <w:rPr>
                <w:rFonts w:hint="eastAsia"/>
                <w:b/>
              </w:rPr>
              <w:t>20959.48</w:t>
            </w:r>
          </w:p>
        </w:tc>
        <w:tc>
          <w:tcPr>
            <w:tcW w:w="1705" w:type="dxa"/>
            <w:noWrap w:val="0"/>
            <w:vAlign w:val="center"/>
          </w:tcPr>
          <w:p>
            <w:pPr>
              <w:jc w:val="center"/>
              <w:rPr>
                <w:b/>
              </w:rPr>
            </w:pPr>
            <w:r>
              <w:rPr>
                <w:rFonts w:hint="eastAsia"/>
                <w:b/>
              </w:rPr>
              <w:t>-74.49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稻田养殖</w:t>
            </w:r>
          </w:p>
        </w:tc>
        <w:tc>
          <w:tcPr>
            <w:tcW w:w="1704" w:type="dxa"/>
            <w:noWrap w:val="0"/>
            <w:vAlign w:val="center"/>
          </w:tcPr>
          <w:p>
            <w:pPr>
              <w:jc w:val="center"/>
              <w:rPr>
                <w:b/>
              </w:rPr>
            </w:pPr>
            <w:r>
              <w:rPr>
                <w:rFonts w:hint="eastAsia"/>
                <w:b/>
              </w:rPr>
              <w:t>0</w:t>
            </w:r>
          </w:p>
        </w:tc>
        <w:tc>
          <w:tcPr>
            <w:tcW w:w="1704"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c>
          <w:tcPr>
            <w:tcW w:w="1705" w:type="dxa"/>
            <w:noWrap w:val="0"/>
            <w:vAlign w:val="center"/>
          </w:tcPr>
          <w:p>
            <w:pPr>
              <w:jc w:val="center"/>
              <w:rPr>
                <w:b/>
              </w:rPr>
            </w:pPr>
            <w:r>
              <w:rPr>
                <w:rFonts w:hint="eastAsia"/>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4" w:type="dxa"/>
            <w:noWrap w:val="0"/>
            <w:vAlign w:val="center"/>
          </w:tcPr>
          <w:p>
            <w:pPr>
              <w:jc w:val="center"/>
              <w:rPr>
                <w:b/>
              </w:rPr>
            </w:pPr>
            <w:r>
              <w:rPr>
                <w:rFonts w:hint="eastAsia"/>
                <w:b/>
              </w:rPr>
              <w:t>合计</w:t>
            </w:r>
          </w:p>
        </w:tc>
        <w:tc>
          <w:tcPr>
            <w:tcW w:w="1704" w:type="dxa"/>
            <w:noWrap w:val="0"/>
            <w:vAlign w:val="center"/>
          </w:tcPr>
          <w:p>
            <w:pPr>
              <w:jc w:val="center"/>
              <w:rPr>
                <w:b/>
              </w:rPr>
            </w:pPr>
            <w:r>
              <w:rPr>
                <w:rFonts w:hint="eastAsia"/>
                <w:b/>
              </w:rPr>
              <w:t>36060.74</w:t>
            </w:r>
          </w:p>
        </w:tc>
        <w:tc>
          <w:tcPr>
            <w:tcW w:w="1704" w:type="dxa"/>
            <w:noWrap w:val="0"/>
            <w:vAlign w:val="center"/>
          </w:tcPr>
          <w:p>
            <w:pPr>
              <w:jc w:val="center"/>
              <w:rPr>
                <w:b/>
              </w:rPr>
            </w:pPr>
            <w:r>
              <w:rPr>
                <w:rFonts w:hint="eastAsia"/>
                <w:b/>
              </w:rPr>
              <w:t>15101.26</w:t>
            </w:r>
          </w:p>
        </w:tc>
        <w:tc>
          <w:tcPr>
            <w:tcW w:w="1705" w:type="dxa"/>
            <w:noWrap w:val="0"/>
            <w:vAlign w:val="center"/>
          </w:tcPr>
          <w:p>
            <w:pPr>
              <w:jc w:val="center"/>
              <w:rPr>
                <w:b/>
              </w:rPr>
            </w:pPr>
            <w:r>
              <w:rPr>
                <w:rFonts w:hint="eastAsia"/>
                <w:b/>
              </w:rPr>
              <w:t>20959.48</w:t>
            </w:r>
          </w:p>
        </w:tc>
        <w:tc>
          <w:tcPr>
            <w:tcW w:w="1705" w:type="dxa"/>
            <w:noWrap w:val="0"/>
            <w:vAlign w:val="center"/>
          </w:tcPr>
          <w:p>
            <w:pPr>
              <w:jc w:val="center"/>
              <w:rPr>
                <w:b/>
              </w:rPr>
            </w:pPr>
            <w:r>
              <w:rPr>
                <w:rFonts w:hint="eastAsia"/>
                <w:b/>
              </w:rPr>
              <w:t>-58.12</w:t>
            </w:r>
          </w:p>
        </w:tc>
      </w:tr>
    </w:tbl>
    <w:p>
      <w:pPr>
        <w:rPr>
          <w:b/>
        </w:rPr>
      </w:pPr>
    </w:p>
    <w:p>
      <w:pPr>
        <w:rPr>
          <w:b/>
        </w:rPr>
      </w:pPr>
    </w:p>
    <w:p/>
    <w:p/>
    <w:p/>
    <w:p/>
    <w:p/>
    <w:p/>
    <w:p/>
    <w:p/>
    <w:p/>
    <w:p>
      <w:pPr>
        <w:spacing w:afterLines="50" w:line="360" w:lineRule="auto"/>
        <w:jc w:val="center"/>
        <w:outlineLvl w:val="1"/>
        <w:rPr>
          <w:b/>
          <w:sz w:val="24"/>
          <w:szCs w:val="24"/>
        </w:rPr>
      </w:pPr>
      <w:bookmarkStart w:id="69" w:name="_Toc532809881"/>
      <w:r>
        <w:rPr>
          <w:rFonts w:hint="eastAsia"/>
          <w:b/>
          <w:sz w:val="24"/>
          <w:szCs w:val="24"/>
        </w:rPr>
        <w:t>表4 榆阳区禁止养殖区规划信息表</w:t>
      </w:r>
      <w:bookmarkEnd w:id="69"/>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880"/>
        <w:gridCol w:w="1134"/>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分类代码</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规划养殖面积（亩）</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GIS </w:t>
            </w:r>
            <w:r>
              <w:rPr>
                <w:rFonts w:hint="eastAsia"/>
                <w:b/>
              </w:rPr>
              <w:t>中心坐标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1-1-1</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红石峡饮用水水源地一级保护区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1221.92</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109.722402 38.343672</w:t>
            </w:r>
          </w:p>
        </w:tc>
        <w:tc>
          <w:tcPr>
            <w:tcW w:w="2126" w:type="dxa"/>
            <w:vMerge w:val="restart"/>
            <w:tcBorders>
              <w:top w:val="single" w:color="auto" w:sz="4" w:space="0"/>
              <w:left w:val="single" w:color="auto" w:sz="4" w:space="0"/>
              <w:right w:val="single" w:color="auto" w:sz="4" w:space="0"/>
            </w:tcBorders>
            <w:noWrap w:val="0"/>
            <w:vAlign w:val="top"/>
          </w:tcPr>
          <w:p>
            <w:pPr>
              <w:rPr>
                <w:b/>
              </w:rPr>
            </w:pPr>
            <w:r>
              <w:rPr>
                <w:rFonts w:hint="eastAsia"/>
                <w:b/>
              </w:rPr>
              <w:t>限期关停、搬迁和取缔。建立巡查和长效管理机制。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1-1-2</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尤家峁饮用水水源地一级保护区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1789.06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109.717607 38.255992</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1-1-3</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王圪堵水库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4244.08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109.204320 38.046928</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1-1-4</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榆阳泉饮用水源地一级保护区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188.37</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109.801250 38.312260</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1-1-5</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普惠泉饮用水源地一级保护区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11.75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109.754767 38.299137</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1-1-6</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榆溪河湿地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8971.61</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109.647883 38.531396</w:t>
            </w:r>
          </w:p>
        </w:tc>
        <w:tc>
          <w:tcPr>
            <w:tcW w:w="2126" w:type="dxa"/>
            <w:vMerge w:val="continue"/>
            <w:tcBorders>
              <w:left w:val="single" w:color="auto" w:sz="4" w:space="0"/>
              <w:bottom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小计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16426.79</w:t>
            </w:r>
          </w:p>
        </w:tc>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tc>
      </w:tr>
    </w:tbl>
    <w:p>
      <w:pPr>
        <w:rPr>
          <w:b/>
        </w:rPr>
      </w:pPr>
    </w:p>
    <w:p>
      <w:pPr>
        <w:rPr>
          <w:b/>
        </w:rPr>
      </w:pPr>
    </w:p>
    <w:p>
      <w:pPr>
        <w:spacing w:afterLines="50" w:line="360" w:lineRule="auto"/>
        <w:jc w:val="center"/>
        <w:outlineLvl w:val="1"/>
        <w:rPr>
          <w:b/>
          <w:sz w:val="24"/>
          <w:szCs w:val="24"/>
        </w:rPr>
      </w:pPr>
      <w:bookmarkStart w:id="70" w:name="_Toc532809882"/>
      <w:r>
        <w:rPr>
          <w:rFonts w:hint="eastAsia"/>
          <w:b/>
          <w:sz w:val="24"/>
          <w:szCs w:val="24"/>
        </w:rPr>
        <w:t>表5 榆阳区限制养殖区规划信息表</w:t>
      </w:r>
      <w:bookmarkEnd w:id="70"/>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880"/>
        <w:gridCol w:w="1134"/>
        <w:gridCol w:w="24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分类代码</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规划养殖面积（亩）</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GIS </w:t>
            </w:r>
            <w:r>
              <w:rPr>
                <w:rFonts w:hint="eastAsia"/>
                <w:b/>
              </w:rPr>
              <w:t>中心坐标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2-1-1</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红石峡饮用水水源地二级保护区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109.722402 38.343672</w:t>
            </w:r>
          </w:p>
        </w:tc>
        <w:tc>
          <w:tcPr>
            <w:tcW w:w="2126" w:type="dxa"/>
            <w:vMerge w:val="restart"/>
            <w:tcBorders>
              <w:top w:val="single" w:color="auto" w:sz="4" w:space="0"/>
              <w:left w:val="single" w:color="auto" w:sz="4" w:space="0"/>
              <w:right w:val="single" w:color="auto" w:sz="4" w:space="0"/>
            </w:tcBorders>
            <w:noWrap w:val="0"/>
            <w:vAlign w:val="top"/>
          </w:tcPr>
          <w:p>
            <w:pPr>
              <w:rPr>
                <w:b/>
              </w:rPr>
            </w:pPr>
            <w:r>
              <w:rPr>
                <w:rFonts w:hint="eastAsia"/>
                <w:b/>
              </w:rPr>
              <w:t>滤食性和吃食性鱼类网箱围栏面积分别不得超过水域面积的1% 和0.25%。渔业主管部门加强对渔业水域水质状况的监测。污染物排放标准超标的，限期整改，整改后不达标的，由本级人民政府及相关部门负责限期搬迁或关停。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2-1-2</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尤家峁饮用水水源地二级保护区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highlight w:val="yellow"/>
              </w:rPr>
            </w:pPr>
            <w:r>
              <w:rPr>
                <w:rFonts w:hint="eastAsia"/>
                <w:b/>
              </w:rPr>
              <w:t>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109.717607 38.255992</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2-1-3</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榆阳泉饮用水源地二级保护区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109.801250 38.312260</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2-1-4</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普惠泉饮用水源地二级保护区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109.754767 38.299137</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2-1-5</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中营盘水库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23.5638</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109.661255 38.652758</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2-1-6</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李家梁水库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28.5546</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109.600916 38.550130</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2-1-7</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石峁水库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13.6730</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109.843806 38.416368</w:t>
            </w:r>
          </w:p>
        </w:tc>
        <w:tc>
          <w:tcPr>
            <w:tcW w:w="2126"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05"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2-1-8</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河口水库湿地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145.9205</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109.345512 38.595729</w:t>
            </w:r>
          </w:p>
        </w:tc>
        <w:tc>
          <w:tcPr>
            <w:tcW w:w="2126" w:type="dxa"/>
            <w:vMerge w:val="continue"/>
            <w:tcBorders>
              <w:left w:val="single" w:color="auto" w:sz="4" w:space="0"/>
              <w:bottom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小计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211.7119</w:t>
            </w:r>
          </w:p>
        </w:tc>
        <w:tc>
          <w:tcPr>
            <w:tcW w:w="4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tc>
      </w:tr>
    </w:tbl>
    <w:p>
      <w:r>
        <w:rPr>
          <w:rFonts w:hint="eastAsia"/>
        </w:rPr>
        <w:t>备注：限制养殖区中的水库规划养殖面积为实际规划面积的1%。</w:t>
      </w:r>
    </w:p>
    <w:p>
      <w:pPr>
        <w:rPr>
          <w:b/>
        </w:rPr>
      </w:pPr>
    </w:p>
    <w:p>
      <w:pPr>
        <w:rPr>
          <w:b/>
        </w:rPr>
      </w:pPr>
    </w:p>
    <w:p>
      <w:pPr>
        <w:spacing w:afterLines="50" w:line="360" w:lineRule="auto"/>
        <w:jc w:val="center"/>
        <w:outlineLvl w:val="1"/>
        <w:rPr>
          <w:b/>
          <w:sz w:val="24"/>
          <w:szCs w:val="24"/>
        </w:rPr>
      </w:pPr>
      <w:bookmarkStart w:id="71" w:name="_Toc532809883"/>
      <w:r>
        <w:rPr>
          <w:rFonts w:hint="eastAsia"/>
          <w:b/>
          <w:sz w:val="24"/>
          <w:szCs w:val="24"/>
        </w:rPr>
        <w:t>表6</w:t>
      </w:r>
      <w:r>
        <w:rPr>
          <w:b/>
          <w:sz w:val="24"/>
          <w:szCs w:val="24"/>
        </w:rPr>
        <w:t>.</w:t>
      </w:r>
      <w:r>
        <w:rPr>
          <w:rFonts w:hint="eastAsia"/>
          <w:b/>
          <w:sz w:val="24"/>
          <w:szCs w:val="24"/>
        </w:rPr>
        <w:t>1 榆阳区池塘养殖区规划信息表</w:t>
      </w:r>
      <w:bookmarkEnd w:id="71"/>
    </w:p>
    <w:tbl>
      <w:tblPr>
        <w:tblStyle w:val="1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022"/>
        <w:gridCol w:w="226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分类代码</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规划面积（亩）</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GIS </w:t>
            </w:r>
            <w:r>
              <w:rPr>
                <w:rFonts w:hint="eastAsia"/>
                <w:b/>
              </w:rPr>
              <w:t>中心坐标</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3.95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109.288859 38.230377</w:t>
            </w:r>
          </w:p>
        </w:tc>
        <w:tc>
          <w:tcPr>
            <w:tcW w:w="2466" w:type="dxa"/>
            <w:vMerge w:val="restart"/>
            <w:tcBorders>
              <w:top w:val="single" w:color="auto" w:sz="4" w:space="0"/>
              <w:left w:val="single" w:color="auto" w:sz="4" w:space="0"/>
            </w:tcBorders>
            <w:noWrap w:val="0"/>
            <w:vAlign w:val="top"/>
          </w:tcPr>
          <w:p>
            <w:pPr>
              <w:spacing w:line="360" w:lineRule="auto"/>
              <w:rPr>
                <w:b/>
              </w:rPr>
            </w:pPr>
            <w:r>
              <w:rPr>
                <w:rFonts w:hint="eastAsia"/>
                <w:b/>
              </w:rPr>
              <w:t>养殖区域和设施不硬化。养殖生产者在养殖生产过程不得使用任何农药进行清塘、清淤。排放尾水达到国家或省标准，或者作为养殖用水循环使用。养殖生产者收集的养殖污染物应用作塘堤护坡或用于种植农产品的肥料，不得随意处置，防止造成二次污染。限制永久性设施改造和建设。养殖生产者接受水产品质量安全监督和渔业水环境监测。渔业主管部门加强对其养殖尾水排放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108.3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109.285727 38.216183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83.28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109.101595 38.330762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2.23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109.420691 38.577863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2.70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109.403802 38.586222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8.71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109.399306 38.586725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2.73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109.388342 38.591186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112.61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109.516764 38.519465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41.24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109.377312 38.596427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5.60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109.447756 38.564084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24.4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109.476584 38.524484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10.11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109.438419 38.648324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4.39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109.440425 38.594854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7.37</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109.636436 38.481007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110.85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109.770165 38.185379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42.59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109.814696 38.215206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13.55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109.825854 38.220837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31.71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109.857558 38.221056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20.30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109.848932 38.230429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18.08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109.869344 38.576593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8.73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109.730268 38.495824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109.912170 38.270324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109.02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109.987980 38.523369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6.84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109.978742 38.525392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8.15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109.986590 38.431113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39.75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109.910566 38.455205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14.57</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109.941143 38.421985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19.48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109.942409 38.422691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3-2-1-29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12.95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109.940692 38.419884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6.27</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109.948675 38.416269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12.99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109.950477 38.414016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4.95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109.986183 38.430693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184.31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109.919943 38.458885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46.64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109.920672 38.421851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14.18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109.926230 38.420540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18.38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109.940456 38.462766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162.1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109.949232 38.462598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60.63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109.956378 38.461103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3-2-1-39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13.64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109.357082 38.583021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97.00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109.348247 38.538741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81.9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109.634936 38.513593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109.751968 38.583812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5.98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109.763164 38.576020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109.758851 38.576402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109.778482 38.564631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109.749361 38.581430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1.69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109.765824 38.557532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109.768029 38.554608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3-2-1-49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4.75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109.775582 38.561892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6.63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109.782721 38.580593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5.54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109.784743 38.579058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109.768888 38.553630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6.18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109.782736 38.592238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3.74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109.784040 38.590212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10.03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109.785387 38.588212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109.775218 38.589458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6.01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109.819477 38.576911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6.83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109.671692 38.636405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3-2-1-59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266.72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109.669569 38.684612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34.43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109.666859 38.670003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69.22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109.675415 38.517521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24.68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109.681745 38.522154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109.687603 38.519233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26.36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109.684406 38.528114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109.716410 38.523640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109.718309 38.523871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34.63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109.715488 38.528621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109.685973 38.514398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3-2-1-69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1.92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109.711518 38.524903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2.02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109.732502 38.524115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6.07</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109.732159 38.525366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0.84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109.743895 38.530390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14.42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109.748069 38.532588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7.27</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109.666207 38.577488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109.662586 38.559861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5.42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109.663852 38.559768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33.99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109.685574 38.549094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41.26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109.696732 38.553994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3-2-1-79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4.41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109.699071 38.563651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11.63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109.703094 38.563273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143.78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109.615924 38.533453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327.61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109.593898 38.579478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109.525704 38.651437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20.13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109.594750 38.596850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109.677645 38.504855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118.42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109.659806 38.478724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514.41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109.649807 38.469972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111.55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109.662274 38.463537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3-2-1-89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130.93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109.692851 38.441473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24.86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109.733520 38.419785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130.19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109.712006 38.418440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237.26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109.716061 38.405275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14.22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109.706845 38.421121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72.86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109.699990 38.418104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40.21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109.702972 38.415229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567.42</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109.709691 38.403370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150.19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109.708382 38.387957</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53.61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109.715678 38.379715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3-2-1-99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19.36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109.724969 38.361185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26.89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109.728048 38.355573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46.93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109.755997 38.362893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104.44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109.745257 38.378361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336.65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109.751083 38.389736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191.38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109.804509 38.378259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165.31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109.839034 38.403895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110.118189 38.035640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11.99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109.446634 38.709803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109.656420 38.838029</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3-2-1-109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1.38</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109.654865 38.845382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109.654350 38.845065</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3-2-1-111</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1.75</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109.653073 38.846118</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3-2-1-112</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109.652472 38.844731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3-2-1-113</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1.14</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109.252733 38.426270</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3-2-1-114</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7.83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109.255184 38.413841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3-2-1-115</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7.39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109.517238 38.439582</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3-2-1-116</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9.06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109.525446 38.433624</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3-2-1-117</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60.61</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109.635761 38.422206</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3-2-1-118</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19.19</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109.522872 38.357673</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3-2-1-119</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14.66</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109.473702 38.420721</w:t>
            </w:r>
          </w:p>
        </w:tc>
        <w:tc>
          <w:tcPr>
            <w:tcW w:w="2466" w:type="dxa"/>
            <w:vMerge w:val="continue"/>
            <w:tcBorders>
              <w:lef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3-2-1-120</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2.33</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109.261495 38.444193</w:t>
            </w:r>
          </w:p>
        </w:tc>
        <w:tc>
          <w:tcPr>
            <w:tcW w:w="2466" w:type="dxa"/>
            <w:vMerge w:val="continue"/>
            <w:tcBorders>
              <w:left w:val="single" w:color="auto" w:sz="4" w:space="0"/>
              <w:bottom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小计</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6103.16</w:t>
            </w:r>
          </w:p>
        </w:tc>
        <w:tc>
          <w:tcPr>
            <w:tcW w:w="47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tc>
      </w:tr>
    </w:tbl>
    <w:p>
      <w:pPr>
        <w:rPr>
          <w:b/>
        </w:rPr>
      </w:pPr>
    </w:p>
    <w:p>
      <w:pPr>
        <w:rPr>
          <w:b/>
        </w:rPr>
      </w:pPr>
    </w:p>
    <w:p>
      <w:pPr>
        <w:rPr>
          <w:b/>
        </w:rPr>
      </w:pPr>
    </w:p>
    <w:p>
      <w:pPr>
        <w:rPr>
          <w:b/>
        </w:rPr>
      </w:pPr>
    </w:p>
    <w:p>
      <w:pPr>
        <w:rPr>
          <w:b/>
        </w:rPr>
      </w:pPr>
    </w:p>
    <w:p>
      <w:pPr>
        <w:rPr>
          <w:b/>
        </w:rPr>
      </w:pPr>
    </w:p>
    <w:p>
      <w:pPr>
        <w:rPr>
          <w:b/>
        </w:rPr>
      </w:pPr>
    </w:p>
    <w:p>
      <w:pPr>
        <w:spacing w:afterLines="50" w:line="360" w:lineRule="auto"/>
        <w:jc w:val="center"/>
        <w:outlineLvl w:val="1"/>
        <w:rPr>
          <w:b/>
          <w:sz w:val="24"/>
          <w:szCs w:val="24"/>
        </w:rPr>
      </w:pPr>
      <w:bookmarkStart w:id="72" w:name="_Toc532809884"/>
      <w:r>
        <w:rPr>
          <w:rFonts w:hint="eastAsia"/>
          <w:b/>
          <w:sz w:val="24"/>
          <w:szCs w:val="24"/>
        </w:rPr>
        <w:t>表6</w:t>
      </w:r>
      <w:r>
        <w:rPr>
          <w:b/>
          <w:sz w:val="24"/>
          <w:szCs w:val="24"/>
        </w:rPr>
        <w:t>.</w:t>
      </w:r>
      <w:r>
        <w:rPr>
          <w:rFonts w:hint="eastAsia"/>
          <w:b/>
          <w:sz w:val="24"/>
          <w:szCs w:val="24"/>
        </w:rPr>
        <w:t>2 榆阳区湖泊养殖区规划信息表</w:t>
      </w:r>
      <w:bookmarkEnd w:id="72"/>
    </w:p>
    <w:tbl>
      <w:tblPr>
        <w:tblStyle w:val="12"/>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3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分类代码</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规划面积（亩）</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GIS </w:t>
            </w:r>
            <w:r>
              <w:rPr>
                <w:rFonts w:hint="eastAsia"/>
                <w:b/>
              </w:rPr>
              <w:t>中心坐标</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3-2-2-1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122.16</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109.859895 38.623487</w:t>
            </w:r>
          </w:p>
        </w:tc>
        <w:tc>
          <w:tcPr>
            <w:tcW w:w="2131" w:type="dxa"/>
            <w:vMerge w:val="restart"/>
            <w:tcBorders>
              <w:top w:val="single" w:color="auto" w:sz="4" w:space="0"/>
              <w:left w:val="single" w:color="auto" w:sz="4" w:space="0"/>
              <w:right w:val="single" w:color="auto" w:sz="4" w:space="0"/>
            </w:tcBorders>
            <w:noWrap w:val="0"/>
            <w:vAlign w:val="top"/>
          </w:tcPr>
          <w:p>
            <w:pPr>
              <w:rPr>
                <w:b/>
              </w:rPr>
            </w:pPr>
            <w:r>
              <w:rPr>
                <w:rFonts w:hint="eastAsia"/>
                <w:b/>
              </w:rPr>
              <w:t>养殖生产过程不得使用任何农药。收集的养殖污染物应，不得随意处置，防止造成二次污染。限制永久性设施改造和建设。养殖生产者接受水产品质量安全监督和渔业水环境监测。渔业主管部门加强对其养殖区域水质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3-2-2-2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102.35</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109.819682 38.606961</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3-2-2-3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87.88</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109.683127 38.911025</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3-2-2-4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206.21</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109.646620 38.704425</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3-2-2-5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1302.77</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109.679891 38.734259</w:t>
            </w:r>
          </w:p>
        </w:tc>
        <w:tc>
          <w:tcPr>
            <w:tcW w:w="2131" w:type="dxa"/>
            <w:vMerge w:val="continue"/>
            <w:tcBorders>
              <w:left w:val="single" w:color="auto" w:sz="4" w:space="0"/>
              <w:bottom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小计</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1821.37</w:t>
            </w:r>
          </w:p>
        </w:tc>
        <w:tc>
          <w:tcPr>
            <w:tcW w:w="44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tc>
      </w:tr>
    </w:tbl>
    <w:p/>
    <w:p>
      <w:pPr>
        <w:rPr>
          <w:b/>
        </w:rPr>
      </w:pPr>
    </w:p>
    <w:p>
      <w:pPr>
        <w:rPr>
          <w:b/>
        </w:rPr>
      </w:pPr>
    </w:p>
    <w:p>
      <w:pPr>
        <w:rPr>
          <w:b/>
        </w:rPr>
      </w:pPr>
    </w:p>
    <w:p>
      <w:pPr>
        <w:rPr>
          <w:b/>
        </w:rPr>
      </w:pPr>
    </w:p>
    <w:p>
      <w:pPr>
        <w:rPr>
          <w:b/>
        </w:rPr>
      </w:pPr>
    </w:p>
    <w:p>
      <w:pPr>
        <w:rPr>
          <w:b/>
        </w:rPr>
      </w:pPr>
    </w:p>
    <w:p>
      <w:pPr>
        <w:rPr>
          <w:b/>
        </w:rPr>
      </w:pPr>
    </w:p>
    <w:p>
      <w:pPr>
        <w:rPr>
          <w:b/>
        </w:rPr>
      </w:pPr>
    </w:p>
    <w:p>
      <w:pPr>
        <w:spacing w:afterLines="50" w:line="360" w:lineRule="auto"/>
        <w:jc w:val="center"/>
        <w:outlineLvl w:val="1"/>
        <w:rPr>
          <w:b/>
          <w:sz w:val="24"/>
          <w:szCs w:val="24"/>
        </w:rPr>
      </w:pPr>
      <w:bookmarkStart w:id="73" w:name="_Toc532809885"/>
      <w:r>
        <w:rPr>
          <w:rFonts w:hint="eastAsia"/>
          <w:b/>
          <w:sz w:val="24"/>
          <w:szCs w:val="24"/>
        </w:rPr>
        <w:t>表6</w:t>
      </w:r>
      <w:r>
        <w:rPr>
          <w:b/>
          <w:sz w:val="24"/>
          <w:szCs w:val="24"/>
        </w:rPr>
        <w:t>.</w:t>
      </w:r>
      <w:r>
        <w:rPr>
          <w:rFonts w:hint="eastAsia"/>
          <w:b/>
          <w:sz w:val="24"/>
          <w:szCs w:val="24"/>
        </w:rPr>
        <w:t>3 榆阳区水库养殖区规划信息表</w:t>
      </w:r>
      <w:bookmarkEnd w:id="73"/>
    </w:p>
    <w:tbl>
      <w:tblPr>
        <w:tblStyle w:val="1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36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分类代码</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规划养殖面积（亩）</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 xml:space="preserve">GIS </w:t>
            </w:r>
            <w:r>
              <w:rPr>
                <w:rFonts w:hint="eastAsia"/>
                <w:b/>
              </w:rPr>
              <w:t>中心坐标</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156.32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109.095640 38.318811</w:t>
            </w:r>
          </w:p>
        </w:tc>
        <w:tc>
          <w:tcPr>
            <w:tcW w:w="2131" w:type="dxa"/>
            <w:vMerge w:val="restart"/>
            <w:tcBorders>
              <w:top w:val="single" w:color="auto" w:sz="4" w:space="0"/>
              <w:left w:val="single" w:color="auto" w:sz="4" w:space="0"/>
              <w:right w:val="single" w:color="auto" w:sz="4" w:space="0"/>
            </w:tcBorders>
            <w:noWrap w:val="0"/>
            <w:vAlign w:val="top"/>
          </w:tcPr>
          <w:p>
            <w:pPr>
              <w:spacing w:line="360" w:lineRule="auto"/>
              <w:rPr>
                <w:b/>
              </w:rPr>
            </w:pPr>
            <w:r>
              <w:rPr>
                <w:rFonts w:hint="eastAsia"/>
                <w:b/>
              </w:rPr>
              <w:t>养殖生产过程不得使用任何农药。收集的养殖污染物应，不得随意处置，防止造成二次污染。限制永久性设施改造和建设。养殖生产者接受水产品质量安全监督和渔业水环境监测。渔业主管部门加强对其养殖区域水质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35.08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109.103421 38.330032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59.01</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110.229262 38.401195</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369.73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110.0283635 38.581071</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62.98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110.322385 38.476054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459.40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109.307555 38.154252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13.13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109.928100 38.257949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109.914707 38.275729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9.45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109.903241 38.264402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62.94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109.948494 38.325816</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22.39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109.952125 38.311312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61.13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109.945206 38.319163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17.82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110.030374 38.323697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38.85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110.054879 38.315246</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68.05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110.024937 38.225003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6.80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109.995551 38.266046</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18.50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109.991710 38.259989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68.83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109.987309 38.431996</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3-2-3-19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80.63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110.000902 38.495203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114.62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109.901747 38.448752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144.99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109.991075 38.387069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144.42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110.004532 38.351476</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127.90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109.980282 38.507209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49.63</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109.945692 38.419119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31.25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109.948616 38.518828</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565.94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109.882156 38.425028</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93.19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109.867050 38.424087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61.00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109.895202 38.446114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3-2-3-29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172.32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109.907647 38.452231</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94.55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109.910823 38.422910</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60.69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109.995817 38.413167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571.06</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110.063283 38.383542</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116.36</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109.936036 38.460128</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113.94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109.970497 38.477365</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63.04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109.966479 38.528464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279.60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110.007150 38.392893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124.89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109.983307 38.521430</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215.24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109.700065 38.524437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3-2-3-39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16.80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109.525495 38.652404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28.98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109.594343 38.598514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80.84</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109.811233 38.380263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1003.12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109.825438 38.389598</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59.72</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110.054360 38.010621</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56.99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110.047777 37.936533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444.50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109.964677 37.985817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57.16</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109.790884 38.018829</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57.09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109.843220 38.039957</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105.98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109.845365 38.043303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3-2-3-49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74.25</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109.854914 38.022954</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3-2-3-50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62.00</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109.939205 38.033148</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3-2-3-51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47.98</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109.931051 38.008570</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3-2-3-52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59.19</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109.903242 38.074443</w:t>
            </w:r>
          </w:p>
        </w:tc>
        <w:tc>
          <w:tcPr>
            <w:tcW w:w="2131" w:type="dxa"/>
            <w:vMerge w:val="continue"/>
            <w:tcBorders>
              <w:left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3-2-3-53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52.57</w:t>
            </w:r>
          </w:p>
        </w:tc>
        <w:tc>
          <w:tcPr>
            <w:tcW w:w="236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109.943676 38.159204</w:t>
            </w:r>
          </w:p>
        </w:tc>
        <w:tc>
          <w:tcPr>
            <w:tcW w:w="2131" w:type="dxa"/>
            <w:vMerge w:val="continue"/>
            <w:tcBorders>
              <w:left w:val="single" w:color="auto" w:sz="4" w:space="0"/>
              <w:bottom w:val="single" w:color="auto" w:sz="4" w:space="0"/>
              <w:right w:val="single" w:color="auto" w:sz="4" w:space="0"/>
            </w:tcBorders>
            <w:noWrap w:val="0"/>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小计</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6965.02</w:t>
            </w:r>
          </w:p>
        </w:tc>
        <w:tc>
          <w:tcPr>
            <w:tcW w:w="44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w:t>
            </w:r>
          </w:p>
        </w:tc>
      </w:tr>
    </w:tbl>
    <w:p>
      <w:pPr>
        <w:rPr>
          <w:b/>
        </w:rPr>
      </w:pPr>
    </w:p>
    <w:p>
      <w:pPr>
        <w:rPr>
          <w:b/>
        </w:rPr>
      </w:pPr>
    </w:p>
    <w:p>
      <w:pPr>
        <w:spacing w:beforeLines="100" w:afterLines="100"/>
        <w:jc w:val="left"/>
        <w:outlineLvl w:val="0"/>
        <w:rPr>
          <w:rFonts w:ascii="黑体" w:eastAsia="黑体"/>
          <w:sz w:val="32"/>
          <w:szCs w:val="32"/>
        </w:rPr>
        <w:sectPr>
          <w:pgSz w:w="11906" w:h="16838"/>
          <w:pgMar w:top="1440" w:right="1800" w:bottom="1440" w:left="1800" w:header="851" w:footer="992" w:gutter="0"/>
          <w:cols w:space="720" w:num="1"/>
          <w:docGrid w:type="lines" w:linePitch="312" w:charSpace="0"/>
        </w:sectPr>
      </w:pPr>
      <w:bookmarkStart w:id="74" w:name="_Toc529609973"/>
    </w:p>
    <w:p>
      <w:pPr>
        <w:spacing w:beforeLines="100" w:afterLines="100"/>
        <w:jc w:val="left"/>
        <w:outlineLvl w:val="0"/>
        <w:rPr>
          <w:rFonts w:ascii="黑体" w:eastAsia="黑体"/>
          <w:sz w:val="32"/>
          <w:szCs w:val="32"/>
        </w:rPr>
      </w:pPr>
      <w:bookmarkStart w:id="75" w:name="_Toc532809886"/>
      <w:r>
        <w:rPr>
          <w:rFonts w:hint="eastAsia" w:ascii="黑体" w:eastAsia="黑体"/>
          <w:sz w:val="32"/>
          <w:szCs w:val="32"/>
        </w:rPr>
        <w:t>附图</w:t>
      </w:r>
      <w:bookmarkEnd w:id="74"/>
      <w:bookmarkEnd w:id="75"/>
    </w:p>
    <w:p>
      <w:pPr>
        <w:spacing w:line="360" w:lineRule="auto"/>
        <w:jc w:val="center"/>
        <w:outlineLvl w:val="1"/>
        <w:rPr>
          <w:b/>
          <w:sz w:val="24"/>
          <w:szCs w:val="24"/>
        </w:rPr>
      </w:pPr>
      <w:bookmarkStart w:id="76" w:name="_Toc532809887"/>
      <w:r>
        <w:rPr>
          <w:rFonts w:hint="eastAsia"/>
          <w:b/>
          <w:sz w:val="24"/>
          <w:szCs w:val="24"/>
        </w:rPr>
        <w:t>图1 榆阳区养殖水域滩涂规划图</w:t>
      </w:r>
      <w:bookmarkEnd w:id="76"/>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77" w:name="_Toc532809888"/>
      <w:r>
        <w:rPr>
          <w:rFonts w:hint="eastAsia"/>
          <w:b/>
          <w:sz w:val="24"/>
          <w:szCs w:val="24"/>
        </w:rPr>
        <w:t>图2 榆阳区禁止养殖区规划图</w:t>
      </w:r>
      <w:bookmarkEnd w:id="77"/>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78" w:name="_Toc532809889"/>
      <w:r>
        <w:rPr>
          <w:rFonts w:hint="eastAsia"/>
          <w:b/>
          <w:sz w:val="24"/>
          <w:szCs w:val="24"/>
        </w:rPr>
        <w:t>图3 榆阳区限制养殖区规划图</w:t>
      </w:r>
      <w:bookmarkEnd w:id="78"/>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79" w:name="_Toc532809890"/>
      <w:r>
        <w:rPr>
          <w:rFonts w:hint="eastAsia"/>
          <w:b/>
          <w:sz w:val="24"/>
          <w:szCs w:val="24"/>
        </w:rPr>
        <w:t>图4 榆阳区养殖区规划图</w:t>
      </w:r>
      <w:bookmarkEnd w:id="79"/>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80" w:name="_Toc532809891"/>
      <w:r>
        <w:rPr>
          <w:rFonts w:hint="eastAsia"/>
          <w:b/>
          <w:sz w:val="24"/>
          <w:szCs w:val="24"/>
        </w:rPr>
        <w:t>图4.1 榆阳区池塘养殖区规划图</w:t>
      </w:r>
      <w:bookmarkEnd w:id="80"/>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81" w:name="_Toc532809892"/>
      <w:r>
        <w:rPr>
          <w:rFonts w:hint="eastAsia"/>
          <w:b/>
          <w:sz w:val="24"/>
          <w:szCs w:val="24"/>
        </w:rPr>
        <w:t>图4.2 榆阳区湖泊养殖区规划图</w:t>
      </w:r>
      <w:bookmarkEnd w:id="81"/>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82" w:name="_Toc532809893"/>
      <w:r>
        <w:rPr>
          <w:rFonts w:hint="eastAsia"/>
          <w:b/>
          <w:sz w:val="24"/>
          <w:szCs w:val="24"/>
        </w:rPr>
        <w:t>图4.3 榆阳区水库养殖区规划图</w:t>
      </w:r>
      <w:bookmarkEnd w:id="82"/>
    </w:p>
    <w:p>
      <w:pPr>
        <w:spacing w:line="360" w:lineRule="auto"/>
        <w:rPr>
          <w:b/>
        </w:rPr>
      </w:pPr>
    </w:p>
    <w:p>
      <w:pPr>
        <w:spacing w:line="360" w:lineRule="auto"/>
        <w:rPr>
          <w:b/>
        </w:rPr>
        <w:sectPr>
          <w:pgSz w:w="11906" w:h="16838"/>
          <w:pgMar w:top="1440" w:right="1800" w:bottom="1440" w:left="1800" w:header="851" w:footer="992" w:gutter="0"/>
          <w:cols w:space="720" w:num="1"/>
          <w:docGrid w:type="lines" w:linePitch="312" w:charSpace="0"/>
        </w:sectPr>
      </w:pPr>
    </w:p>
    <w:p>
      <w:pPr>
        <w:spacing w:line="360" w:lineRule="auto"/>
        <w:jc w:val="center"/>
        <w:outlineLvl w:val="1"/>
        <w:rPr>
          <w:b/>
          <w:sz w:val="24"/>
          <w:szCs w:val="24"/>
        </w:rPr>
      </w:pPr>
      <w:bookmarkStart w:id="83" w:name="_Toc532809894"/>
      <w:r>
        <w:rPr>
          <w:rFonts w:hint="eastAsia"/>
          <w:b/>
          <w:sz w:val="24"/>
          <w:szCs w:val="24"/>
        </w:rPr>
        <w:t>图5 榆阳区201</w:t>
      </w:r>
      <w:r>
        <w:rPr>
          <w:b/>
          <w:sz w:val="24"/>
          <w:szCs w:val="24"/>
        </w:rPr>
        <w:t>7</w:t>
      </w:r>
      <w:r>
        <w:rPr>
          <w:rFonts w:hint="eastAsia"/>
          <w:b/>
          <w:sz w:val="24"/>
          <w:szCs w:val="24"/>
        </w:rPr>
        <w:t>年水域滩涂养殖现状图</w:t>
      </w:r>
      <w:bookmarkEnd w:id="83"/>
    </w:p>
    <w:p>
      <w:pPr>
        <w:rPr>
          <w:b/>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B8"/>
    <w:rsid w:val="000011B5"/>
    <w:rsid w:val="000047FB"/>
    <w:rsid w:val="000052DF"/>
    <w:rsid w:val="0001002F"/>
    <w:rsid w:val="0001223F"/>
    <w:rsid w:val="00012AE9"/>
    <w:rsid w:val="00015ACE"/>
    <w:rsid w:val="0001657D"/>
    <w:rsid w:val="00017521"/>
    <w:rsid w:val="00025E52"/>
    <w:rsid w:val="00026128"/>
    <w:rsid w:val="0003143F"/>
    <w:rsid w:val="000357C0"/>
    <w:rsid w:val="000409AD"/>
    <w:rsid w:val="00045F58"/>
    <w:rsid w:val="00053C19"/>
    <w:rsid w:val="000577BE"/>
    <w:rsid w:val="00057EEB"/>
    <w:rsid w:val="000610C4"/>
    <w:rsid w:val="00061FE2"/>
    <w:rsid w:val="00062636"/>
    <w:rsid w:val="00067D53"/>
    <w:rsid w:val="00073F72"/>
    <w:rsid w:val="0008079B"/>
    <w:rsid w:val="00083A93"/>
    <w:rsid w:val="00092144"/>
    <w:rsid w:val="00092986"/>
    <w:rsid w:val="00092992"/>
    <w:rsid w:val="00095CC8"/>
    <w:rsid w:val="00095E46"/>
    <w:rsid w:val="0009721C"/>
    <w:rsid w:val="000A1454"/>
    <w:rsid w:val="000A61D9"/>
    <w:rsid w:val="000A7702"/>
    <w:rsid w:val="000A7ACE"/>
    <w:rsid w:val="000B17BB"/>
    <w:rsid w:val="000B276F"/>
    <w:rsid w:val="000B67B9"/>
    <w:rsid w:val="000B6E8D"/>
    <w:rsid w:val="000B7B66"/>
    <w:rsid w:val="000C1490"/>
    <w:rsid w:val="000C4182"/>
    <w:rsid w:val="000C4909"/>
    <w:rsid w:val="000C53A1"/>
    <w:rsid w:val="000D3A2E"/>
    <w:rsid w:val="000D4271"/>
    <w:rsid w:val="000D46F5"/>
    <w:rsid w:val="000D5CFD"/>
    <w:rsid w:val="000E6671"/>
    <w:rsid w:val="000F1A60"/>
    <w:rsid w:val="000F21EC"/>
    <w:rsid w:val="000F45BE"/>
    <w:rsid w:val="000F790E"/>
    <w:rsid w:val="001001F3"/>
    <w:rsid w:val="00100557"/>
    <w:rsid w:val="00105F05"/>
    <w:rsid w:val="001211D4"/>
    <w:rsid w:val="0012429F"/>
    <w:rsid w:val="001246EA"/>
    <w:rsid w:val="00131407"/>
    <w:rsid w:val="00133EA2"/>
    <w:rsid w:val="00134D40"/>
    <w:rsid w:val="0013754F"/>
    <w:rsid w:val="0014106B"/>
    <w:rsid w:val="00147D1E"/>
    <w:rsid w:val="001502A2"/>
    <w:rsid w:val="00150AFD"/>
    <w:rsid w:val="001526FA"/>
    <w:rsid w:val="00152774"/>
    <w:rsid w:val="00154565"/>
    <w:rsid w:val="00156228"/>
    <w:rsid w:val="00163B35"/>
    <w:rsid w:val="0016615F"/>
    <w:rsid w:val="0017007B"/>
    <w:rsid w:val="001724AC"/>
    <w:rsid w:val="00176869"/>
    <w:rsid w:val="001825F0"/>
    <w:rsid w:val="00183835"/>
    <w:rsid w:val="00190215"/>
    <w:rsid w:val="00190774"/>
    <w:rsid w:val="0019284E"/>
    <w:rsid w:val="001933C2"/>
    <w:rsid w:val="001934B1"/>
    <w:rsid w:val="001951CB"/>
    <w:rsid w:val="00195A14"/>
    <w:rsid w:val="00195B39"/>
    <w:rsid w:val="001A03E7"/>
    <w:rsid w:val="001A07BE"/>
    <w:rsid w:val="001A21CA"/>
    <w:rsid w:val="001B26A0"/>
    <w:rsid w:val="001C347B"/>
    <w:rsid w:val="001D1567"/>
    <w:rsid w:val="001D17FC"/>
    <w:rsid w:val="001D1DED"/>
    <w:rsid w:val="001D2B29"/>
    <w:rsid w:val="001D540B"/>
    <w:rsid w:val="001D6AC5"/>
    <w:rsid w:val="001F02A2"/>
    <w:rsid w:val="001F092F"/>
    <w:rsid w:val="001F2D63"/>
    <w:rsid w:val="001F3A9C"/>
    <w:rsid w:val="00202795"/>
    <w:rsid w:val="00204156"/>
    <w:rsid w:val="002053B7"/>
    <w:rsid w:val="00212A87"/>
    <w:rsid w:val="002145C2"/>
    <w:rsid w:val="002235D8"/>
    <w:rsid w:val="002332FE"/>
    <w:rsid w:val="002334DB"/>
    <w:rsid w:val="002361D3"/>
    <w:rsid w:val="00237B6D"/>
    <w:rsid w:val="00241AD9"/>
    <w:rsid w:val="002501D1"/>
    <w:rsid w:val="00251405"/>
    <w:rsid w:val="002520A4"/>
    <w:rsid w:val="00255F31"/>
    <w:rsid w:val="002600AC"/>
    <w:rsid w:val="00263FAF"/>
    <w:rsid w:val="002644A7"/>
    <w:rsid w:val="00265391"/>
    <w:rsid w:val="00265536"/>
    <w:rsid w:val="00267F3D"/>
    <w:rsid w:val="002750C5"/>
    <w:rsid w:val="00277EAC"/>
    <w:rsid w:val="00282E30"/>
    <w:rsid w:val="002832CA"/>
    <w:rsid w:val="002A036D"/>
    <w:rsid w:val="002A05B5"/>
    <w:rsid w:val="002A55A4"/>
    <w:rsid w:val="002B4119"/>
    <w:rsid w:val="002B7F14"/>
    <w:rsid w:val="002C18EC"/>
    <w:rsid w:val="002C6806"/>
    <w:rsid w:val="002C6DE2"/>
    <w:rsid w:val="002D383C"/>
    <w:rsid w:val="002D5768"/>
    <w:rsid w:val="002D6059"/>
    <w:rsid w:val="002D714A"/>
    <w:rsid w:val="002E64B4"/>
    <w:rsid w:val="002E74EE"/>
    <w:rsid w:val="003043D3"/>
    <w:rsid w:val="00313619"/>
    <w:rsid w:val="0031570B"/>
    <w:rsid w:val="00315E78"/>
    <w:rsid w:val="003169E2"/>
    <w:rsid w:val="00316D0B"/>
    <w:rsid w:val="00317311"/>
    <w:rsid w:val="00317A21"/>
    <w:rsid w:val="0032392C"/>
    <w:rsid w:val="00326CB3"/>
    <w:rsid w:val="00330708"/>
    <w:rsid w:val="00330870"/>
    <w:rsid w:val="0033523B"/>
    <w:rsid w:val="00335283"/>
    <w:rsid w:val="00345604"/>
    <w:rsid w:val="00346CEB"/>
    <w:rsid w:val="00350F47"/>
    <w:rsid w:val="00351892"/>
    <w:rsid w:val="00353B87"/>
    <w:rsid w:val="00354CA5"/>
    <w:rsid w:val="0036108D"/>
    <w:rsid w:val="00365D1B"/>
    <w:rsid w:val="003707E0"/>
    <w:rsid w:val="00373D37"/>
    <w:rsid w:val="00374724"/>
    <w:rsid w:val="00377346"/>
    <w:rsid w:val="00382823"/>
    <w:rsid w:val="00385A12"/>
    <w:rsid w:val="00386E0A"/>
    <w:rsid w:val="00390645"/>
    <w:rsid w:val="0039243D"/>
    <w:rsid w:val="00392729"/>
    <w:rsid w:val="00395527"/>
    <w:rsid w:val="003A3C0B"/>
    <w:rsid w:val="003A59D3"/>
    <w:rsid w:val="003A62ED"/>
    <w:rsid w:val="003B4816"/>
    <w:rsid w:val="003B5E96"/>
    <w:rsid w:val="003C27B3"/>
    <w:rsid w:val="003C658B"/>
    <w:rsid w:val="003C7240"/>
    <w:rsid w:val="003C7E8B"/>
    <w:rsid w:val="003E16CB"/>
    <w:rsid w:val="003E3DA6"/>
    <w:rsid w:val="003E5461"/>
    <w:rsid w:val="003E6501"/>
    <w:rsid w:val="003E70A7"/>
    <w:rsid w:val="003F32CD"/>
    <w:rsid w:val="003F4FB3"/>
    <w:rsid w:val="003F7D0B"/>
    <w:rsid w:val="004014AB"/>
    <w:rsid w:val="00403424"/>
    <w:rsid w:val="00403B85"/>
    <w:rsid w:val="00406FE0"/>
    <w:rsid w:val="00412EA9"/>
    <w:rsid w:val="00420738"/>
    <w:rsid w:val="0042127D"/>
    <w:rsid w:val="00421F54"/>
    <w:rsid w:val="00422F26"/>
    <w:rsid w:val="00426A35"/>
    <w:rsid w:val="00432E40"/>
    <w:rsid w:val="00436568"/>
    <w:rsid w:val="004407AA"/>
    <w:rsid w:val="00441D0C"/>
    <w:rsid w:val="00444909"/>
    <w:rsid w:val="00450C52"/>
    <w:rsid w:val="0045678D"/>
    <w:rsid w:val="00456DC1"/>
    <w:rsid w:val="00457130"/>
    <w:rsid w:val="00465552"/>
    <w:rsid w:val="00473E82"/>
    <w:rsid w:val="00476914"/>
    <w:rsid w:val="00481015"/>
    <w:rsid w:val="00482507"/>
    <w:rsid w:val="00482992"/>
    <w:rsid w:val="004845C3"/>
    <w:rsid w:val="00487068"/>
    <w:rsid w:val="00492474"/>
    <w:rsid w:val="00496127"/>
    <w:rsid w:val="00496311"/>
    <w:rsid w:val="004A69D8"/>
    <w:rsid w:val="004B2517"/>
    <w:rsid w:val="004C4691"/>
    <w:rsid w:val="004C64C1"/>
    <w:rsid w:val="004C745F"/>
    <w:rsid w:val="004C7957"/>
    <w:rsid w:val="004D2AC3"/>
    <w:rsid w:val="004D3492"/>
    <w:rsid w:val="004D4FE8"/>
    <w:rsid w:val="004E32A4"/>
    <w:rsid w:val="004E32EA"/>
    <w:rsid w:val="00501F6C"/>
    <w:rsid w:val="00502BCD"/>
    <w:rsid w:val="00507972"/>
    <w:rsid w:val="00510B84"/>
    <w:rsid w:val="00511018"/>
    <w:rsid w:val="00512027"/>
    <w:rsid w:val="005155E9"/>
    <w:rsid w:val="00517E1F"/>
    <w:rsid w:val="00525673"/>
    <w:rsid w:val="00534A29"/>
    <w:rsid w:val="005357E1"/>
    <w:rsid w:val="0053590E"/>
    <w:rsid w:val="00535B19"/>
    <w:rsid w:val="00536A36"/>
    <w:rsid w:val="005446B2"/>
    <w:rsid w:val="00544BEE"/>
    <w:rsid w:val="0054548E"/>
    <w:rsid w:val="0054755B"/>
    <w:rsid w:val="0055041A"/>
    <w:rsid w:val="005504E2"/>
    <w:rsid w:val="00552544"/>
    <w:rsid w:val="0055535B"/>
    <w:rsid w:val="00556F0B"/>
    <w:rsid w:val="00566AD0"/>
    <w:rsid w:val="00575060"/>
    <w:rsid w:val="005766C4"/>
    <w:rsid w:val="0059384C"/>
    <w:rsid w:val="005957DB"/>
    <w:rsid w:val="005A45CC"/>
    <w:rsid w:val="005A51DA"/>
    <w:rsid w:val="005A6FF4"/>
    <w:rsid w:val="005A7D84"/>
    <w:rsid w:val="005B4402"/>
    <w:rsid w:val="005B7164"/>
    <w:rsid w:val="005C52E9"/>
    <w:rsid w:val="005D294D"/>
    <w:rsid w:val="005D2CDF"/>
    <w:rsid w:val="005D2F1D"/>
    <w:rsid w:val="005E1886"/>
    <w:rsid w:val="005F0095"/>
    <w:rsid w:val="005F0892"/>
    <w:rsid w:val="005F6C7B"/>
    <w:rsid w:val="00604172"/>
    <w:rsid w:val="0061462E"/>
    <w:rsid w:val="00615E5D"/>
    <w:rsid w:val="0061678B"/>
    <w:rsid w:val="0061721E"/>
    <w:rsid w:val="0062676A"/>
    <w:rsid w:val="006340C2"/>
    <w:rsid w:val="006377D9"/>
    <w:rsid w:val="00641BA8"/>
    <w:rsid w:val="006445BB"/>
    <w:rsid w:val="00645A97"/>
    <w:rsid w:val="00645AE4"/>
    <w:rsid w:val="00647D99"/>
    <w:rsid w:val="00647F54"/>
    <w:rsid w:val="00655103"/>
    <w:rsid w:val="00666ABD"/>
    <w:rsid w:val="006742F2"/>
    <w:rsid w:val="006757BF"/>
    <w:rsid w:val="006804F3"/>
    <w:rsid w:val="00681A90"/>
    <w:rsid w:val="00693333"/>
    <w:rsid w:val="00694E36"/>
    <w:rsid w:val="006A3B60"/>
    <w:rsid w:val="006A70D0"/>
    <w:rsid w:val="006C1E79"/>
    <w:rsid w:val="006C5693"/>
    <w:rsid w:val="006C63E9"/>
    <w:rsid w:val="006D27AA"/>
    <w:rsid w:val="006D6409"/>
    <w:rsid w:val="006D6F34"/>
    <w:rsid w:val="006E0B1B"/>
    <w:rsid w:val="006E0FF3"/>
    <w:rsid w:val="006E1873"/>
    <w:rsid w:val="006E3EDD"/>
    <w:rsid w:val="006E4218"/>
    <w:rsid w:val="006E44C6"/>
    <w:rsid w:val="006E58D0"/>
    <w:rsid w:val="006E6F84"/>
    <w:rsid w:val="00703A80"/>
    <w:rsid w:val="007052DC"/>
    <w:rsid w:val="00706163"/>
    <w:rsid w:val="00712569"/>
    <w:rsid w:val="00723BF7"/>
    <w:rsid w:val="00726148"/>
    <w:rsid w:val="00727D5A"/>
    <w:rsid w:val="00731F3C"/>
    <w:rsid w:val="0073251E"/>
    <w:rsid w:val="007328FA"/>
    <w:rsid w:val="0073394B"/>
    <w:rsid w:val="00737A6B"/>
    <w:rsid w:val="00740560"/>
    <w:rsid w:val="00743706"/>
    <w:rsid w:val="0074388B"/>
    <w:rsid w:val="00744A61"/>
    <w:rsid w:val="00760E2F"/>
    <w:rsid w:val="00761E7D"/>
    <w:rsid w:val="0077011F"/>
    <w:rsid w:val="00770E30"/>
    <w:rsid w:val="007729E4"/>
    <w:rsid w:val="00772D63"/>
    <w:rsid w:val="00775EB3"/>
    <w:rsid w:val="00781EBA"/>
    <w:rsid w:val="00793067"/>
    <w:rsid w:val="007961B5"/>
    <w:rsid w:val="007B6D2D"/>
    <w:rsid w:val="007C0407"/>
    <w:rsid w:val="007C1C0C"/>
    <w:rsid w:val="007C4B78"/>
    <w:rsid w:val="007D1C76"/>
    <w:rsid w:val="007D5135"/>
    <w:rsid w:val="007E243F"/>
    <w:rsid w:val="007F2F46"/>
    <w:rsid w:val="007F4A24"/>
    <w:rsid w:val="007F7E0C"/>
    <w:rsid w:val="008005F8"/>
    <w:rsid w:val="00803693"/>
    <w:rsid w:val="008047DA"/>
    <w:rsid w:val="00810549"/>
    <w:rsid w:val="00811F75"/>
    <w:rsid w:val="00812D0E"/>
    <w:rsid w:val="008170C1"/>
    <w:rsid w:val="00820946"/>
    <w:rsid w:val="00820E78"/>
    <w:rsid w:val="00825569"/>
    <w:rsid w:val="0083004D"/>
    <w:rsid w:val="0083546C"/>
    <w:rsid w:val="00840E6A"/>
    <w:rsid w:val="008506C2"/>
    <w:rsid w:val="008559A3"/>
    <w:rsid w:val="0085783F"/>
    <w:rsid w:val="008630B0"/>
    <w:rsid w:val="00867BB4"/>
    <w:rsid w:val="00867F5B"/>
    <w:rsid w:val="00873413"/>
    <w:rsid w:val="00874B83"/>
    <w:rsid w:val="00874E57"/>
    <w:rsid w:val="00877B02"/>
    <w:rsid w:val="00882D79"/>
    <w:rsid w:val="00882DAB"/>
    <w:rsid w:val="008950C8"/>
    <w:rsid w:val="008A2C19"/>
    <w:rsid w:val="008A54E9"/>
    <w:rsid w:val="008B25EC"/>
    <w:rsid w:val="008B2AFE"/>
    <w:rsid w:val="008B3D21"/>
    <w:rsid w:val="008B638E"/>
    <w:rsid w:val="008C16FD"/>
    <w:rsid w:val="008C7FDF"/>
    <w:rsid w:val="008D0A5E"/>
    <w:rsid w:val="008D11EB"/>
    <w:rsid w:val="008E1119"/>
    <w:rsid w:val="008E376B"/>
    <w:rsid w:val="008E3C0F"/>
    <w:rsid w:val="008E4FFB"/>
    <w:rsid w:val="008E537F"/>
    <w:rsid w:val="008E78A2"/>
    <w:rsid w:val="008E7FAD"/>
    <w:rsid w:val="008F035F"/>
    <w:rsid w:val="008F08C0"/>
    <w:rsid w:val="00910105"/>
    <w:rsid w:val="00910585"/>
    <w:rsid w:val="00912354"/>
    <w:rsid w:val="009156D2"/>
    <w:rsid w:val="00927B6C"/>
    <w:rsid w:val="00927F9A"/>
    <w:rsid w:val="00937A3B"/>
    <w:rsid w:val="009410A1"/>
    <w:rsid w:val="009424E0"/>
    <w:rsid w:val="0094410F"/>
    <w:rsid w:val="009477CB"/>
    <w:rsid w:val="00954956"/>
    <w:rsid w:val="00954E1F"/>
    <w:rsid w:val="00955515"/>
    <w:rsid w:val="009623C4"/>
    <w:rsid w:val="009631A3"/>
    <w:rsid w:val="009678B6"/>
    <w:rsid w:val="00981F74"/>
    <w:rsid w:val="009827AC"/>
    <w:rsid w:val="00982869"/>
    <w:rsid w:val="0098316C"/>
    <w:rsid w:val="00984769"/>
    <w:rsid w:val="009861A4"/>
    <w:rsid w:val="0099308F"/>
    <w:rsid w:val="009A0EC8"/>
    <w:rsid w:val="009B1811"/>
    <w:rsid w:val="009B6F57"/>
    <w:rsid w:val="009C3816"/>
    <w:rsid w:val="009C52D8"/>
    <w:rsid w:val="009C60A0"/>
    <w:rsid w:val="009C77C8"/>
    <w:rsid w:val="009D3D9C"/>
    <w:rsid w:val="009D663C"/>
    <w:rsid w:val="009D6F82"/>
    <w:rsid w:val="009E16D0"/>
    <w:rsid w:val="009F5CBC"/>
    <w:rsid w:val="009F78B9"/>
    <w:rsid w:val="00A01C19"/>
    <w:rsid w:val="00A044AD"/>
    <w:rsid w:val="00A04736"/>
    <w:rsid w:val="00A1705A"/>
    <w:rsid w:val="00A33C03"/>
    <w:rsid w:val="00A42C57"/>
    <w:rsid w:val="00A46087"/>
    <w:rsid w:val="00A4642C"/>
    <w:rsid w:val="00A539A3"/>
    <w:rsid w:val="00A60696"/>
    <w:rsid w:val="00A63C96"/>
    <w:rsid w:val="00A71F0F"/>
    <w:rsid w:val="00A74AA3"/>
    <w:rsid w:val="00A7502C"/>
    <w:rsid w:val="00A752CF"/>
    <w:rsid w:val="00A81705"/>
    <w:rsid w:val="00A86069"/>
    <w:rsid w:val="00A944E8"/>
    <w:rsid w:val="00A94EB8"/>
    <w:rsid w:val="00AA46CB"/>
    <w:rsid w:val="00AA5FD6"/>
    <w:rsid w:val="00AB337E"/>
    <w:rsid w:val="00AB3E76"/>
    <w:rsid w:val="00AC06D4"/>
    <w:rsid w:val="00AC3419"/>
    <w:rsid w:val="00AC4084"/>
    <w:rsid w:val="00AC6CF6"/>
    <w:rsid w:val="00AD4277"/>
    <w:rsid w:val="00AD42F0"/>
    <w:rsid w:val="00AE19C3"/>
    <w:rsid w:val="00AE379B"/>
    <w:rsid w:val="00AE5821"/>
    <w:rsid w:val="00AF0EFA"/>
    <w:rsid w:val="00AF426B"/>
    <w:rsid w:val="00B00937"/>
    <w:rsid w:val="00B02043"/>
    <w:rsid w:val="00B05DF7"/>
    <w:rsid w:val="00B06410"/>
    <w:rsid w:val="00B07BA6"/>
    <w:rsid w:val="00B119AA"/>
    <w:rsid w:val="00B15A55"/>
    <w:rsid w:val="00B17795"/>
    <w:rsid w:val="00B21641"/>
    <w:rsid w:val="00B21A63"/>
    <w:rsid w:val="00B31504"/>
    <w:rsid w:val="00B33346"/>
    <w:rsid w:val="00B335BF"/>
    <w:rsid w:val="00B37761"/>
    <w:rsid w:val="00B37828"/>
    <w:rsid w:val="00B424B1"/>
    <w:rsid w:val="00B42CB2"/>
    <w:rsid w:val="00B52327"/>
    <w:rsid w:val="00B62A66"/>
    <w:rsid w:val="00B67339"/>
    <w:rsid w:val="00B745B4"/>
    <w:rsid w:val="00B81203"/>
    <w:rsid w:val="00B82B40"/>
    <w:rsid w:val="00B85CE1"/>
    <w:rsid w:val="00B9297C"/>
    <w:rsid w:val="00B965B8"/>
    <w:rsid w:val="00BA1D6A"/>
    <w:rsid w:val="00BA4008"/>
    <w:rsid w:val="00BA5F2F"/>
    <w:rsid w:val="00BB5646"/>
    <w:rsid w:val="00BB63C1"/>
    <w:rsid w:val="00BC4113"/>
    <w:rsid w:val="00BC5062"/>
    <w:rsid w:val="00BC5BF0"/>
    <w:rsid w:val="00BC61BC"/>
    <w:rsid w:val="00BC7895"/>
    <w:rsid w:val="00BC7B16"/>
    <w:rsid w:val="00BD1AC7"/>
    <w:rsid w:val="00BD34CA"/>
    <w:rsid w:val="00BD3CA7"/>
    <w:rsid w:val="00BD5158"/>
    <w:rsid w:val="00BD6416"/>
    <w:rsid w:val="00BD6A3A"/>
    <w:rsid w:val="00BD75F0"/>
    <w:rsid w:val="00BE09E5"/>
    <w:rsid w:val="00BE1B88"/>
    <w:rsid w:val="00BE61CA"/>
    <w:rsid w:val="00BE7412"/>
    <w:rsid w:val="00BE742D"/>
    <w:rsid w:val="00BE756D"/>
    <w:rsid w:val="00BF3575"/>
    <w:rsid w:val="00BF5226"/>
    <w:rsid w:val="00BF7F62"/>
    <w:rsid w:val="00C005EF"/>
    <w:rsid w:val="00C0266A"/>
    <w:rsid w:val="00C02EB8"/>
    <w:rsid w:val="00C05EDD"/>
    <w:rsid w:val="00C13AD9"/>
    <w:rsid w:val="00C1541D"/>
    <w:rsid w:val="00C165B1"/>
    <w:rsid w:val="00C21092"/>
    <w:rsid w:val="00C2798E"/>
    <w:rsid w:val="00C27BE2"/>
    <w:rsid w:val="00C343EC"/>
    <w:rsid w:val="00C40792"/>
    <w:rsid w:val="00C44C4F"/>
    <w:rsid w:val="00C4642E"/>
    <w:rsid w:val="00C4759B"/>
    <w:rsid w:val="00C50742"/>
    <w:rsid w:val="00C50C6D"/>
    <w:rsid w:val="00C55AE2"/>
    <w:rsid w:val="00C600F3"/>
    <w:rsid w:val="00C67F41"/>
    <w:rsid w:val="00C74D8F"/>
    <w:rsid w:val="00C75C32"/>
    <w:rsid w:val="00C7713F"/>
    <w:rsid w:val="00C779F0"/>
    <w:rsid w:val="00C81962"/>
    <w:rsid w:val="00C84689"/>
    <w:rsid w:val="00C87E7A"/>
    <w:rsid w:val="00C971CF"/>
    <w:rsid w:val="00CA0847"/>
    <w:rsid w:val="00CA258A"/>
    <w:rsid w:val="00CA531B"/>
    <w:rsid w:val="00CB4005"/>
    <w:rsid w:val="00CB462F"/>
    <w:rsid w:val="00CC11AB"/>
    <w:rsid w:val="00CC2FFA"/>
    <w:rsid w:val="00CC64B8"/>
    <w:rsid w:val="00CD00BF"/>
    <w:rsid w:val="00CD681F"/>
    <w:rsid w:val="00CE0F15"/>
    <w:rsid w:val="00CE4BC5"/>
    <w:rsid w:val="00CF0061"/>
    <w:rsid w:val="00CF07AC"/>
    <w:rsid w:val="00CF0A06"/>
    <w:rsid w:val="00CF71D8"/>
    <w:rsid w:val="00CF7FFC"/>
    <w:rsid w:val="00D06DF3"/>
    <w:rsid w:val="00D12A33"/>
    <w:rsid w:val="00D137AE"/>
    <w:rsid w:val="00D158F0"/>
    <w:rsid w:val="00D163E2"/>
    <w:rsid w:val="00D1674F"/>
    <w:rsid w:val="00D17F40"/>
    <w:rsid w:val="00D210C9"/>
    <w:rsid w:val="00D21E16"/>
    <w:rsid w:val="00D27A9D"/>
    <w:rsid w:val="00D27C12"/>
    <w:rsid w:val="00D30C6C"/>
    <w:rsid w:val="00D31C44"/>
    <w:rsid w:val="00D34C32"/>
    <w:rsid w:val="00D3511F"/>
    <w:rsid w:val="00D35664"/>
    <w:rsid w:val="00D3625E"/>
    <w:rsid w:val="00D447FF"/>
    <w:rsid w:val="00D45D32"/>
    <w:rsid w:val="00D47365"/>
    <w:rsid w:val="00D56BBD"/>
    <w:rsid w:val="00D71B99"/>
    <w:rsid w:val="00D7253E"/>
    <w:rsid w:val="00D731C4"/>
    <w:rsid w:val="00D73AEC"/>
    <w:rsid w:val="00D80FEE"/>
    <w:rsid w:val="00D8357E"/>
    <w:rsid w:val="00D84C43"/>
    <w:rsid w:val="00D946C7"/>
    <w:rsid w:val="00D96F0C"/>
    <w:rsid w:val="00DA2398"/>
    <w:rsid w:val="00DB3D26"/>
    <w:rsid w:val="00DB59C6"/>
    <w:rsid w:val="00DB774A"/>
    <w:rsid w:val="00DC036C"/>
    <w:rsid w:val="00DC07CD"/>
    <w:rsid w:val="00DC13ED"/>
    <w:rsid w:val="00DC2614"/>
    <w:rsid w:val="00DC6163"/>
    <w:rsid w:val="00DC73D3"/>
    <w:rsid w:val="00DE2336"/>
    <w:rsid w:val="00DE70E1"/>
    <w:rsid w:val="00DF1243"/>
    <w:rsid w:val="00DF1BB1"/>
    <w:rsid w:val="00DF2203"/>
    <w:rsid w:val="00DF6127"/>
    <w:rsid w:val="00DF65C2"/>
    <w:rsid w:val="00E00827"/>
    <w:rsid w:val="00E101E8"/>
    <w:rsid w:val="00E104BD"/>
    <w:rsid w:val="00E10C52"/>
    <w:rsid w:val="00E11EEF"/>
    <w:rsid w:val="00E1386C"/>
    <w:rsid w:val="00E138FB"/>
    <w:rsid w:val="00E13B2B"/>
    <w:rsid w:val="00E17B3B"/>
    <w:rsid w:val="00E2233C"/>
    <w:rsid w:val="00E23EA3"/>
    <w:rsid w:val="00E24920"/>
    <w:rsid w:val="00E24FA9"/>
    <w:rsid w:val="00E25F53"/>
    <w:rsid w:val="00E26C9D"/>
    <w:rsid w:val="00E33755"/>
    <w:rsid w:val="00E44BF5"/>
    <w:rsid w:val="00E46533"/>
    <w:rsid w:val="00E4726C"/>
    <w:rsid w:val="00E56C41"/>
    <w:rsid w:val="00E571BE"/>
    <w:rsid w:val="00E6264B"/>
    <w:rsid w:val="00E634B8"/>
    <w:rsid w:val="00E65733"/>
    <w:rsid w:val="00E67718"/>
    <w:rsid w:val="00E71AB8"/>
    <w:rsid w:val="00E7290C"/>
    <w:rsid w:val="00E74D6B"/>
    <w:rsid w:val="00E75C30"/>
    <w:rsid w:val="00E8423C"/>
    <w:rsid w:val="00E855CA"/>
    <w:rsid w:val="00E86D81"/>
    <w:rsid w:val="00E942D6"/>
    <w:rsid w:val="00EA2DAB"/>
    <w:rsid w:val="00EA2F5E"/>
    <w:rsid w:val="00EA6030"/>
    <w:rsid w:val="00EB1A42"/>
    <w:rsid w:val="00EB39E8"/>
    <w:rsid w:val="00EC2002"/>
    <w:rsid w:val="00EC4960"/>
    <w:rsid w:val="00EC67E7"/>
    <w:rsid w:val="00EC7057"/>
    <w:rsid w:val="00EC780C"/>
    <w:rsid w:val="00ED4683"/>
    <w:rsid w:val="00ED47FB"/>
    <w:rsid w:val="00ED6EF8"/>
    <w:rsid w:val="00EE14A8"/>
    <w:rsid w:val="00EE1C2A"/>
    <w:rsid w:val="00EF024F"/>
    <w:rsid w:val="00EF6AB7"/>
    <w:rsid w:val="00F06251"/>
    <w:rsid w:val="00F065CF"/>
    <w:rsid w:val="00F14001"/>
    <w:rsid w:val="00F149F9"/>
    <w:rsid w:val="00F15516"/>
    <w:rsid w:val="00F17F67"/>
    <w:rsid w:val="00F20307"/>
    <w:rsid w:val="00F22807"/>
    <w:rsid w:val="00F22DDB"/>
    <w:rsid w:val="00F233C8"/>
    <w:rsid w:val="00F23574"/>
    <w:rsid w:val="00F2796B"/>
    <w:rsid w:val="00F318C1"/>
    <w:rsid w:val="00F47B01"/>
    <w:rsid w:val="00F53374"/>
    <w:rsid w:val="00F533A2"/>
    <w:rsid w:val="00F60F1A"/>
    <w:rsid w:val="00F71CAE"/>
    <w:rsid w:val="00F7458C"/>
    <w:rsid w:val="00F74E4A"/>
    <w:rsid w:val="00F8059C"/>
    <w:rsid w:val="00F94210"/>
    <w:rsid w:val="00F95EFF"/>
    <w:rsid w:val="00F96231"/>
    <w:rsid w:val="00FA0E4A"/>
    <w:rsid w:val="00FA0F41"/>
    <w:rsid w:val="00FA2B99"/>
    <w:rsid w:val="00FA74D6"/>
    <w:rsid w:val="00FB48EE"/>
    <w:rsid w:val="00FB6E71"/>
    <w:rsid w:val="00FC6E8A"/>
    <w:rsid w:val="00FD12E7"/>
    <w:rsid w:val="00FD15CB"/>
    <w:rsid w:val="00FD2117"/>
    <w:rsid w:val="00FE4B81"/>
    <w:rsid w:val="00FF4C29"/>
    <w:rsid w:val="00FF6F07"/>
    <w:rsid w:val="1327756A"/>
    <w:rsid w:val="2E896CBA"/>
    <w:rsid w:val="36817382"/>
    <w:rsid w:val="37366F21"/>
    <w:rsid w:val="37D503FB"/>
    <w:rsid w:val="4B8B2D9D"/>
    <w:rsid w:val="62EC5A6A"/>
    <w:rsid w:val="7C635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Date"/>
    <w:basedOn w:val="1"/>
    <w:next w:val="1"/>
    <w:link w:val="15"/>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tabs>
        <w:tab w:val="right" w:leader="dot" w:pos="8296"/>
      </w:tabs>
      <w:jc w:val="left"/>
    </w:pPr>
  </w:style>
  <w:style w:type="paragraph" w:styleId="8">
    <w:name w:val="toc 2"/>
    <w:basedOn w:val="1"/>
    <w:next w:val="1"/>
    <w:unhideWhenUsed/>
    <w:qFormat/>
    <w:uiPriority w:val="39"/>
    <w:pPr>
      <w:ind w:left="420" w:leftChars="200"/>
    </w:pPr>
  </w:style>
  <w:style w:type="character" w:styleId="10">
    <w:name w:val="Hyperlink"/>
    <w:basedOn w:val="9"/>
    <w:unhideWhenUsed/>
    <w:uiPriority w:val="99"/>
    <w:rPr>
      <w:color w:val="0000FF"/>
      <w:u w:val="single"/>
    </w:rPr>
  </w:style>
  <w:style w:type="table" w:styleId="12">
    <w:name w:val="Table Grid"/>
    <w:basedOn w:val="11"/>
    <w:uiPriority w:val="59"/>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日期 Char"/>
    <w:basedOn w:val="9"/>
    <w:link w:val="3"/>
    <w:semiHidden/>
    <w:qFormat/>
    <w:uiPriority w:val="99"/>
  </w:style>
  <w:style w:type="character" w:customStyle="1" w:styleId="16">
    <w:name w:val="页眉 Char"/>
    <w:basedOn w:val="9"/>
    <w:link w:val="6"/>
    <w:semiHidden/>
    <w:qFormat/>
    <w:uiPriority w:val="99"/>
    <w:rPr>
      <w:sz w:val="18"/>
      <w:szCs w:val="18"/>
    </w:rPr>
  </w:style>
  <w:style w:type="character" w:customStyle="1" w:styleId="17">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9033;&#30446;\&#20859;&#27542;&#27700;&#22495;&#28393;&#28034;&#35268;&#21010;&#32534;&#21046;\&#27014;&#38451;\&#27700;&#20135;&#21697;&#38144;&#218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9033;&#30446;\&#20859;&#27542;&#27700;&#22495;&#28393;&#28034;&#35268;&#21010;&#32534;&#21046;\&#27014;&#38451;\&#27700;&#20135;&#21697;&#38144;&#218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0" i="0" u="none" strike="noStrike" kern="1200" baseline="0">
                <a:solidFill>
                  <a:srgbClr val="000000"/>
                </a:solidFill>
                <a:latin typeface="+mn-lt"/>
                <a:ea typeface="+mn-ea"/>
                <a:cs typeface="+mn-cs"/>
              </a:defRPr>
            </a:pPr>
            <a:r>
              <a:rPr lang="zh-CN" altLang="en-US" b="0"/>
              <a:t>水产品销售量饼状图</a:t>
            </a:r>
            <a:endParaRPr lang="en-US" altLang="zh-CN" b="0"/>
          </a:p>
          <a:p>
            <a:pPr>
              <a:defRPr lang="zh-CN" sz="1800" b="0" i="0" u="none" strike="noStrike" kern="1200" baseline="0">
                <a:solidFill>
                  <a:srgbClr val="000000"/>
                </a:solidFill>
                <a:latin typeface="+mn-lt"/>
                <a:ea typeface="+mn-ea"/>
                <a:cs typeface="+mn-cs"/>
              </a:defRPr>
            </a:pPr>
            <a:r>
              <a:rPr lang="en-US" altLang="zh-CN" sz="1200" b="0"/>
              <a:t>2017</a:t>
            </a:r>
            <a:r>
              <a:rPr lang="zh-CN" altLang="en-US" sz="1200" b="0"/>
              <a:t>年度</a:t>
            </a:r>
            <a:endParaRPr lang="zh-CN" altLang="en-US" sz="1200" b="0"/>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manualLayout>
                  <c:x val="0.0416666666666667"/>
                  <c:y val="0"/>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416666666666667"/>
                  <c:y val="0"/>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0.0472222222222225"/>
                  <c:y val="8.48755627201388e-17"/>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3"/>
              <c:layout>
                <c:manualLayout>
                  <c:x val="-0.0388888888888889"/>
                  <c:y val="0"/>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4"/>
              <c:layout>
                <c:manualLayout>
                  <c:x val="-0.0750002187226597"/>
                  <c:y val="0"/>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'销售量 (2)'!$A$1:$A$5</c:f>
              <c:strCache>
                <c:ptCount val="5"/>
                <c:pt idx="0">
                  <c:v>草鱼</c:v>
                </c:pt>
                <c:pt idx="1">
                  <c:v>鲢鱼</c:v>
                </c:pt>
                <c:pt idx="2">
                  <c:v>鳙鱼</c:v>
                </c:pt>
                <c:pt idx="3">
                  <c:v>鲤鱼</c:v>
                </c:pt>
                <c:pt idx="4">
                  <c:v>鲫鱼</c:v>
                </c:pt>
              </c:strCache>
            </c:strRef>
          </c:cat>
          <c:val>
            <c:numRef>
              <c:f>'销售量 (2)'!$B$1:$B$5</c:f>
              <c:numCache>
                <c:formatCode>General</c:formatCode>
                <c:ptCount val="5"/>
                <c:pt idx="0">
                  <c:v>451</c:v>
                </c:pt>
                <c:pt idx="1">
                  <c:v>378</c:v>
                </c:pt>
                <c:pt idx="2">
                  <c:v>433</c:v>
                </c:pt>
                <c:pt idx="3">
                  <c:v>1193</c:v>
                </c:pt>
                <c:pt idx="4">
                  <c:v>70</c:v>
                </c:pt>
              </c:numCache>
            </c:numRef>
          </c:val>
        </c:ser>
        <c:dLbls>
          <c:showLegendKey val="0"/>
          <c:showVal val="0"/>
          <c:showCatName val="1"/>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p>
      </c:txPr>
    </c:legend>
    <c:plotVisOnly val="1"/>
    <c:dispBlanksAs val="zero"/>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0" i="0" u="none" strike="noStrike" kern="1200" baseline="0">
                <a:solidFill>
                  <a:srgbClr val="000000"/>
                </a:solidFill>
                <a:latin typeface="+mn-lt"/>
                <a:ea typeface="+mn-ea"/>
                <a:cs typeface="+mn-cs"/>
              </a:defRPr>
            </a:pPr>
            <a:r>
              <a:rPr lang="zh-CN" altLang="en-US" b="0"/>
              <a:t>水产品销售额线状图</a:t>
            </a:r>
            <a:endParaRPr lang="en-US" altLang="zh-CN" b="0"/>
          </a:p>
          <a:p>
            <a:pPr>
              <a:defRPr lang="zh-CN" sz="1800" b="0" i="0" u="none" strike="noStrike" kern="1200" baseline="0">
                <a:solidFill>
                  <a:srgbClr val="000000"/>
                </a:solidFill>
                <a:latin typeface="+mn-lt"/>
                <a:ea typeface="+mn-ea"/>
                <a:cs typeface="+mn-cs"/>
              </a:defRPr>
            </a:pPr>
            <a:r>
              <a:rPr lang="en-US" altLang="zh-CN" sz="1200" b="0"/>
              <a:t>2017</a:t>
            </a:r>
            <a:r>
              <a:rPr lang="zh-CN" altLang="en-US" sz="1200" b="0"/>
              <a:t>年度</a:t>
            </a:r>
            <a:endParaRPr lang="zh-CN" altLang="en-US" sz="1200" b="0"/>
          </a:p>
        </c:rich>
      </c:tx>
      <c:layout/>
      <c:overlay val="0"/>
    </c:title>
    <c:autoTitleDeleted val="0"/>
    <c:plotArea>
      <c:layout/>
      <c:lineChart>
        <c:grouping val="standard"/>
        <c:varyColors val="0"/>
        <c:ser>
          <c:idx val="0"/>
          <c:order val="0"/>
          <c:tx>
            <c:strRef>
              <c:f>'销售额 (2)'!$B$1</c:f>
              <c:strCache>
                <c:ptCount val="1"/>
                <c:pt idx="0">
                  <c:v>草鱼</c:v>
                </c:pt>
              </c:strCache>
            </c:strRef>
          </c:tx>
          <c:dLbls>
            <c:delete val="1"/>
          </c:dLbls>
          <c:cat>
            <c:strRef>
              <c:f>'销售额 (2)'!$A$2:$A$13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'销售额 (2)'!$B$2:$B$13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586.3</c:v>
                </c:pt>
              </c:numCache>
            </c:numRef>
          </c:val>
          <c:smooth val="0"/>
        </c:ser>
        <c:ser>
          <c:idx val="1"/>
          <c:order val="1"/>
          <c:tx>
            <c:strRef>
              <c:f>'销售额 (2)'!$C$1</c:f>
              <c:strCache>
                <c:ptCount val="1"/>
                <c:pt idx="0">
                  <c:v>鲢鱼</c:v>
                </c:pt>
              </c:strCache>
            </c:strRef>
          </c:tx>
          <c:dLbls>
            <c:delete val="1"/>
          </c:dLbls>
          <c:cat>
            <c:strRef>
              <c:f>'销售额 (2)'!$A$2:$A$13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'销售额 (2)'!$C$2:$C$13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302.4</c:v>
                </c:pt>
              </c:numCache>
            </c:numRef>
          </c:val>
          <c:smooth val="0"/>
        </c:ser>
        <c:ser>
          <c:idx val="2"/>
          <c:order val="2"/>
          <c:tx>
            <c:strRef>
              <c:f>'销售额 (2)'!$D$1</c:f>
              <c:strCache>
                <c:ptCount val="1"/>
                <c:pt idx="0">
                  <c:v>鳙鱼</c:v>
                </c:pt>
              </c:strCache>
            </c:strRef>
          </c:tx>
          <c:dLbls>
            <c:delete val="1"/>
          </c:dLbls>
          <c:cat>
            <c:strRef>
              <c:f>'销售额 (2)'!$A$2:$A$13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'销售额 (2)'!$D$2:$D$13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433</c:v>
                </c:pt>
              </c:numCache>
            </c:numRef>
          </c:val>
          <c:smooth val="0"/>
        </c:ser>
        <c:ser>
          <c:idx val="3"/>
          <c:order val="3"/>
          <c:tx>
            <c:strRef>
              <c:f>'销售额 (2)'!$E$1</c:f>
              <c:strCache>
                <c:ptCount val="1"/>
                <c:pt idx="0">
                  <c:v>鲤鱼</c:v>
                </c:pt>
              </c:strCache>
            </c:strRef>
          </c:tx>
          <c:dLbls>
            <c:delete val="1"/>
          </c:dLbls>
          <c:cat>
            <c:strRef>
              <c:f>'销售额 (2)'!$A$2:$A$13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'销售额 (2)'!$E$2:$E$13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1073.7</c:v>
                </c:pt>
              </c:numCache>
            </c:numRef>
          </c:val>
          <c:smooth val="0"/>
        </c:ser>
        <c:ser>
          <c:idx val="4"/>
          <c:order val="4"/>
          <c:tx>
            <c:strRef>
              <c:f>'销售额 (2)'!$F$1</c:f>
              <c:strCache>
                <c:ptCount val="1"/>
                <c:pt idx="0">
                  <c:v>鲫鱼</c:v>
                </c:pt>
              </c:strCache>
            </c:strRef>
          </c:tx>
          <c:dLbls>
            <c:delete val="1"/>
          </c:dLbls>
          <c:cat>
            <c:strRef>
              <c:f>'销售额 (2)'!$A$2:$A$13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'销售额 (2)'!$F$2:$F$13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112</c:v>
                </c:pt>
              </c:numCache>
            </c:numRef>
          </c:val>
          <c:smooth val="0"/>
        </c:ser>
        <c:dLbls>
          <c:showLegendKey val="0"/>
          <c:showVal val="0"/>
          <c:showCatName val="0"/>
          <c:showSerName val="0"/>
          <c:showPercent val="0"/>
          <c:showBubbleSize val="0"/>
        </c:dLbls>
        <c:marker val="1"/>
        <c:smooth val="0"/>
        <c:axId val="170429824"/>
        <c:axId val="170439808"/>
      </c:lineChart>
      <c:catAx>
        <c:axId val="1704298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70439808"/>
        <c:crosses val="autoZero"/>
        <c:auto val="1"/>
        <c:lblAlgn val="ctr"/>
        <c:lblOffset val="100"/>
        <c:noMultiLvlLbl val="0"/>
      </c:catAx>
      <c:valAx>
        <c:axId val="170439808"/>
        <c:scaling>
          <c:orientation val="minMax"/>
        </c:scaling>
        <c:delete val="0"/>
        <c:axPos val="l"/>
        <c:majorGridlines/>
        <c:title>
          <c:tx>
            <c:rich>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r>
                  <a:rPr lang="zh-CN" altLang="en-US"/>
                  <a:t>万元</a:t>
                </a:r>
                <a:endParaRPr lang="zh-CN" altLang="en-US"/>
              </a:p>
            </c:rich>
          </c:tx>
          <c:layout>
            <c:manualLayout>
              <c:xMode val="edge"/>
              <c:yMode val="edge"/>
              <c:x val="0.0208973955178684"/>
              <c:y val="0.154041389987544"/>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70429824"/>
        <c:crosses val="autoZero"/>
        <c:crossBetween val="between"/>
      </c:valAx>
      <c:spPr>
        <a:noFill/>
      </c:spPr>
    </c:plotArea>
    <c:legend>
      <c:legendPos val="b"/>
      <c:layout/>
      <c:overlay val="0"/>
      <c:txPr>
        <a:bodyPr rot="0" spcFirstLastPara="0" vertOverflow="ellipsis" vert="horz" wrap="square" anchor="ctr" anchorCtr="1"/>
        <a:lstStyle/>
        <a:p>
          <a:pPr>
            <a:defRPr lang="zh-CN" sz="1000" b="1" i="0" u="none" strike="noStrike" kern="1200" baseline="0">
              <a:solidFill>
                <a:srgbClr val="000000"/>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74</Pages>
  <Words>6094</Words>
  <Characters>34739</Characters>
  <Lines>289</Lines>
  <Paragraphs>81</Paragraphs>
  <TotalTime>770</TotalTime>
  <ScaleCrop>false</ScaleCrop>
  <LinksUpToDate>false</LinksUpToDate>
  <CharactersWithSpaces>40752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2018-12-07T10:36:00Z</dcterms:created>
  <dc:creator>admin</dc:creator>
  <cp:lastModifiedBy>天空</cp:lastModifiedBy>
  <dcterms:modified xsi:type="dcterms:W3CDTF">2019-01-02T06:38:46Z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