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附录</w:t>
      </w:r>
    </w:p>
    <w:p>
      <w:pPr>
        <w:keepNext w:val="0"/>
        <w:keepLines w:val="0"/>
        <w:pageBreakBefore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rPr>
        <w:t>预算报告名词解释</w:t>
      </w:r>
    </w:p>
    <w:p>
      <w:pPr>
        <w:keepNext w:val="0"/>
        <w:keepLines w:val="0"/>
        <w:pageBreakBefore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sz w:val="36"/>
          <w:szCs w:val="36"/>
        </w:rPr>
      </w:pPr>
    </w:p>
    <w:p>
      <w:pPr>
        <w:keepNext w:val="0"/>
        <w:keepLines w:val="0"/>
        <w:pageBreakBefore w:val="0"/>
        <w:numPr>
          <w:ilvl w:val="0"/>
          <w:numId w:val="1"/>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b w:val="0"/>
          <w:i w:val="0"/>
          <w:caps w:val="0"/>
          <w:color w:val="1A1A1A"/>
          <w:spacing w:val="0"/>
          <w:sz w:val="32"/>
          <w:szCs w:val="32"/>
          <w:shd w:val="clear" w:fill="FFFFFF"/>
          <w:lang w:val="en-US" w:eastAsia="zh-CN"/>
        </w:rPr>
      </w:pPr>
      <w:r>
        <w:rPr>
          <w:rFonts w:hint="eastAsia" w:ascii="仿宋" w:hAnsi="仿宋" w:eastAsia="仿宋" w:cs="仿宋"/>
          <w:b/>
          <w:bCs/>
          <w:i w:val="0"/>
          <w:caps w:val="0"/>
          <w:color w:val="1A1A1A"/>
          <w:spacing w:val="0"/>
          <w:sz w:val="32"/>
          <w:szCs w:val="32"/>
          <w:highlight w:val="none"/>
          <w:shd w:val="clear" w:fill="FFFFFF"/>
          <w:lang w:val="en-US" w:eastAsia="zh-CN"/>
        </w:rPr>
        <w:t>预算管理一体化</w:t>
      </w:r>
      <w:r>
        <w:rPr>
          <w:rFonts w:hint="eastAsia" w:ascii="仿宋" w:hAnsi="仿宋" w:eastAsia="仿宋" w:cs="仿宋"/>
          <w:b w:val="0"/>
          <w:i w:val="0"/>
          <w:caps w:val="0"/>
          <w:color w:val="1A1A1A"/>
          <w:spacing w:val="0"/>
          <w:sz w:val="32"/>
          <w:szCs w:val="32"/>
          <w:highlight w:val="none"/>
          <w:shd w:val="clear" w:fill="FFFFFF"/>
          <w:lang w:val="en-US" w:eastAsia="zh-CN"/>
        </w:rPr>
        <w:t>。</w:t>
      </w:r>
      <w:r>
        <w:rPr>
          <w:rFonts w:hint="eastAsia" w:ascii="仿宋" w:hAnsi="仿宋" w:eastAsia="仿宋" w:cs="仿宋"/>
          <w:b w:val="0"/>
          <w:i w:val="0"/>
          <w:caps w:val="0"/>
          <w:color w:val="1A1A1A"/>
          <w:spacing w:val="0"/>
          <w:sz w:val="32"/>
          <w:szCs w:val="32"/>
          <w:shd w:val="clear" w:fill="FFFFFF"/>
          <w:lang w:val="en-US" w:eastAsia="zh-CN"/>
        </w:rPr>
        <w:t>预算管理一体化是财政部党组按照习近平总书记指示精神和党的十九大部署要求，总结历次预算管理改革经验的基础上提出的。实施预算管理一体化，就是要以系统化思维整合预算管理全过程，建立各级财政统一的预算管理一体化规范，将管理规则嵌入信息系统，构建现代信息技术条件下“制度+技术”的管理机制，全面提高各级预算管理规范化、标准化和自动化水平。</w:t>
      </w:r>
    </w:p>
    <w:p>
      <w:pPr>
        <w:keepNext w:val="0"/>
        <w:keepLines w:val="0"/>
        <w:pageBreakBefore w:val="0"/>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政府支出分类科目。</w:t>
      </w:r>
      <w:r>
        <w:rPr>
          <w:rFonts w:hint="eastAsia" w:ascii="仿宋" w:hAnsi="仿宋" w:eastAsia="仿宋" w:cs="仿宋"/>
          <w:sz w:val="32"/>
          <w:szCs w:val="32"/>
        </w:rPr>
        <w:t>分为支出功能分类科目和支出经济分类科目两类。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（1）支出功能分类科目。主要是根据政府职能进行分类，反映政府支出的内容和方向。简单地说，就是“钱用到哪里去了”。设置类、款、项三级。</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类级科目。包括一般公共服务支出，公共安全、教育、</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科学技术、文化体育与传媒支出、社会保障和就业、医疗卫</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生与计划生育、节能环保、农林水支出等26个大类。</w:t>
      </w:r>
    </w:p>
    <w:p>
      <w:pPr>
        <w:keepNext w:val="0"/>
        <w:keepLines w:val="0"/>
        <w:pageBreakBefore w:val="0"/>
        <w:kinsoku/>
        <w:wordWrap/>
        <w:overflowPunct/>
        <w:topLinePunct w:val="0"/>
        <w:autoSpaceDE/>
        <w:autoSpaceDN/>
        <w:bidi w:val="0"/>
        <w:adjustRightInd/>
        <w:snapToGrid/>
        <w:spacing w:line="7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 款级科目。是在类级科目下，进一步明确资金的具体使</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用部门，如一般公共服务支出大类下，设置了人大事务、政</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协事务等款级科目。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项级科目。是在款级科目下，反映资金使用部门的具体投向。如人大事务款级科目下，又设置了行政运行、机关服务、人大会议、人大立法、人大监督等项级科目。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（2）支出经济分类科目。主要反映政府各项支出的经济性质和具体用途，也就是“花的什么钱”支出经济分类科目设类、款两级科目。主要科目有：</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机关工资福利支出。反映机关开支的在职职工和编制外长期聘用人员的各类劳动报酬，以及为上述人员缴纳的各项社会保险费等。下设工资、津补贴及奖金、社会保障缴费等款级科目。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机关商品和服务支出，反映机关购买商品和服务的支出。下设日常公用经费、差旅费、因公出国（境）费、会议培训费、公务接待费、专用材料购置费、劳务费、公务用车运行维护费等款级科目。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对个人和家庭补助支出。反映政府用于个人和家庭等方面的补助支出。下设离退休费、社会福利、生产补贴（包括国家对农民发放的农机具购置补贴、良种补贴、粮食直补</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等）、住房补贴等款级科目。</w:t>
      </w:r>
    </w:p>
    <w:p>
      <w:pPr>
        <w:keepNext w:val="0"/>
        <w:keepLines w:val="0"/>
        <w:pageBreakBefore w:val="0"/>
        <w:kinsoku/>
        <w:wordWrap/>
        <w:overflowPunct/>
        <w:topLinePunct w:val="0"/>
        <w:autoSpaceDE/>
        <w:autoSpaceDN/>
        <w:bidi w:val="0"/>
        <w:adjustRightInd/>
        <w:snapToGrid/>
        <w:spacing w:line="7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 事业单位的补助。反映政府对事业单位及民间非盈利组织的补助。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对企业的补助。反映政府对企业及民间非盈利组织的补贴。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债务利息支出，反映政府和单位的债务利息支出。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债务还本支出。反映政府和单位的债务还本支出。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基本建设支出。反映发改委集中安排的用于购置固定资产、购置基础设施、大型修缮所发生的支出。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机关其他资本性支出。反映除发改委外的其他各部门用于购置固定资产、构建基础设施、大型修缮和财政支持企业更新改造所发生的支出。</w:t>
      </w:r>
    </w:p>
    <w:p>
      <w:pPr>
        <w:keepNext w:val="0"/>
        <w:keepLines w:val="0"/>
        <w:pageBreakBefore w:val="0"/>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、盘活财政存量资金。</w:t>
      </w:r>
      <w:r>
        <w:rPr>
          <w:rFonts w:hint="eastAsia" w:ascii="仿宋" w:hAnsi="仿宋" w:eastAsia="仿宋" w:cs="仿宋"/>
          <w:sz w:val="32"/>
          <w:szCs w:val="32"/>
        </w:rPr>
        <w:t>盘活财政存量资金，是为切实提高财政资金使用效率，支持稳增长、惠民生，应对财政收入增速放缓和弥补财政收支不平衡采取的有效措施，也是创新宏观调控的重要内容。盘活财政存量资金的主要措施有：</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（1）清理一般公共预算结转结余资金。各级财政结转两年以上的资金，作为结余资金管理，全部补充预算稳定调节基</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金。未满两年的结转资金，不需按原用途使用的，可统筹用</w:t>
      </w:r>
    </w:p>
    <w:p>
      <w:pPr>
        <w:keepNext w:val="0"/>
        <w:keepLines w:val="0"/>
        <w:pageBreakBefore w:val="0"/>
        <w:numPr>
          <w:numId w:val="0"/>
        </w:numPr>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rPr>
      </w:pPr>
      <w:r>
        <w:rPr>
          <w:rFonts w:hint="eastAsia" w:ascii="仿宋" w:hAnsi="仿宋" w:eastAsia="仿宋" w:cs="仿宋"/>
          <w:sz w:val="32"/>
          <w:szCs w:val="32"/>
        </w:rPr>
        <w:t>于经济社会发展亟需领域。（2）清理政府性基金预算结转资金。结转资金超过该项基金当年收入的30％部分，调入一般公共预算统筹使用。（3）加强转移支付结转结余资金管理。上级财政专项转移支付结转结余资金中，预算尚未分配到部门和下级政府并结转两年以上的资金，由本级财政交回上级财政统筹使用。预算已经分配到部门并结转两年以上的资金，由同级财政收回统筹使用。（4）加强部门预算结转结余资金管理。部门预算结余资金以及结转两年以上的资金，由同级财政收回统筹使用。</w:t>
      </w:r>
    </w:p>
    <w:p>
      <w:pPr>
        <w:keepNext w:val="0"/>
        <w:keepLines w:val="0"/>
        <w:pageBreakBefore w:val="0"/>
        <w:numPr>
          <w:ilvl w:val="0"/>
          <w:numId w:val="2"/>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b/>
          <w:sz w:val="32"/>
          <w:szCs w:val="32"/>
        </w:rPr>
        <w:t>预算绩效管理</w:t>
      </w:r>
      <w:r>
        <w:rPr>
          <w:rFonts w:hint="eastAsia" w:ascii="仿宋" w:hAnsi="仿宋" w:eastAsia="仿宋" w:cs="仿宋"/>
          <w:sz w:val="32"/>
          <w:szCs w:val="32"/>
        </w:rPr>
        <w:t>。是指在预算管理中融入绩效理念，将绩效目标设定、绩效跟踪、绩效评价及结果运用纳入预算编制、执行、监督全过程，以提高预算的经济效益、社会效益为目的的管理活动。党的十九大报告指出“建立全面规范透明、标准科学、约束有力的预算制度，全面实施预算绩效管理”。</w:t>
      </w:r>
      <w:r>
        <w:rPr>
          <w:rFonts w:hint="eastAsia" w:ascii="仿宋" w:hAnsi="仿宋" w:eastAsia="仿宋" w:cs="仿宋"/>
          <w:sz w:val="32"/>
          <w:szCs w:val="32"/>
          <w:lang w:eastAsia="zh-CN"/>
        </w:rPr>
        <w:t>2019</w:t>
      </w:r>
      <w:r>
        <w:rPr>
          <w:rFonts w:hint="eastAsia" w:ascii="仿宋" w:hAnsi="仿宋" w:eastAsia="仿宋" w:cs="仿宋"/>
          <w:sz w:val="32"/>
          <w:szCs w:val="32"/>
        </w:rPr>
        <w:t>年9月中共中央国务院《关于全面实施预算绩效管理的意见》指出：“</w:t>
      </w:r>
      <w:r>
        <w:rPr>
          <w:rFonts w:hint="eastAsia" w:ascii="仿宋" w:hAnsi="仿宋" w:eastAsia="仿宋" w:cs="仿宋"/>
          <w:spacing w:val="15"/>
          <w:kern w:val="0"/>
          <w:sz w:val="32"/>
          <w:szCs w:val="32"/>
        </w:rPr>
        <w:t>以习近平新时代中国特色社会主义思想为指导，全面贯彻党的十九大和十九届二中、三中全会精神，坚持和加强党的全面领导，坚持稳中求进工作总基调，坚持新发展理念，紧扣我国社会主要矛盾变化，按照高质量发展的要求，紧紧围绕统筹推进“五位一体”总体布局和协调推进“四个全面”战略布局，坚持以供给侧结构性改革为主线，创新预算管理方式，更加注重结果导向、强调成本效益、硬化责任约束，力争用3－5年时间基本建成全方位、全过程、全覆盖的预算绩效管理体系，实现预算和绩效管理一体化，着力提高财政资源配置效率和使用效益，改变预算资金分配的固化格局，提高预算管理水平和政策实施效果，为经济社会发展提供有力保障。”</w:t>
      </w:r>
      <w:r>
        <w:rPr>
          <w:rFonts w:hint="eastAsia" w:ascii="仿宋" w:hAnsi="仿宋" w:eastAsia="仿宋" w:cs="仿宋"/>
          <w:kern w:val="0"/>
          <w:sz w:val="32"/>
          <w:szCs w:val="32"/>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5、“三公”经费。</w:t>
      </w:r>
      <w:r>
        <w:rPr>
          <w:rFonts w:hint="eastAsia" w:ascii="仿宋" w:hAnsi="仿宋" w:eastAsia="仿宋" w:cs="仿宋"/>
          <w:sz w:val="32"/>
          <w:szCs w:val="32"/>
          <w:lang w:val="en-US" w:eastAsia="zh-CN"/>
        </w:rPr>
        <w:t>指的是政府部门人员因公出国（境）经费、公务车购置及运行费、公务接待费产生的消费。</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6、一般性转移支付。</w:t>
      </w:r>
      <w:r>
        <w:rPr>
          <w:rFonts w:hint="eastAsia" w:ascii="仿宋" w:hAnsi="仿宋" w:eastAsia="仿宋" w:cs="仿宋"/>
          <w:sz w:val="32"/>
          <w:szCs w:val="32"/>
          <w:lang w:val="en-US" w:eastAsia="zh-CN"/>
        </w:rPr>
        <w:t>一般性转移支付是地方政府可以按照相关规定统筹安排、使用的补助资金,主要包括:均衡性转移支付、县级基本财力保障机制奖补、重点生态功能区转移支付、资源枯竭型城市转移支付、革命老区转移支付、固定数额补助等。主要用于均衡地区间财力配置，保障地方政府日常运转和推动区域协调发展。</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7、一般债券。</w:t>
      </w:r>
      <w:r>
        <w:rPr>
          <w:rFonts w:hint="eastAsia" w:ascii="仿宋" w:hAnsi="仿宋" w:eastAsia="仿宋" w:cs="仿宋"/>
          <w:sz w:val="32"/>
          <w:szCs w:val="32"/>
          <w:lang w:val="en-US" w:eastAsia="zh-CN"/>
        </w:rPr>
        <w:t>是指省级政府为没有收益的公益性项目发行的、约定一定期限内主要以一般公共预算收入还本付息的政府债券。</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8、专项债券。</w:t>
      </w:r>
      <w:r>
        <w:rPr>
          <w:rFonts w:hint="eastAsia" w:ascii="仿宋" w:hAnsi="仿宋" w:eastAsia="仿宋" w:cs="仿宋"/>
          <w:sz w:val="32"/>
          <w:szCs w:val="32"/>
          <w:lang w:val="en-US" w:eastAsia="zh-CN"/>
        </w:rPr>
        <w:t>是指省级政府为有一定收益的公益性项目发行的、约定一定期限内以公益性项目对应的政府性基金或专项收入还本付息的政府债券。</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9、新增债券。</w:t>
      </w:r>
      <w:r>
        <w:rPr>
          <w:rFonts w:hint="eastAsia" w:ascii="仿宋" w:hAnsi="仿宋" w:eastAsia="仿宋" w:cs="仿宋"/>
          <w:sz w:val="32"/>
          <w:szCs w:val="32"/>
          <w:lang w:val="en-US" w:eastAsia="zh-CN"/>
        </w:rPr>
        <w:t>是指在上级下达的新增政府债务限额内、由省级政府统一发行、用于公益项目资本性支出的政府债券，包括新增一般债券和新增专项债券。</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10、再融资债券。</w:t>
      </w:r>
      <w:r>
        <w:rPr>
          <w:rFonts w:hint="eastAsia" w:ascii="仿宋" w:hAnsi="仿宋" w:eastAsia="仿宋" w:cs="仿宋"/>
          <w:sz w:val="32"/>
          <w:szCs w:val="32"/>
          <w:lang w:val="en-US" w:eastAsia="zh-CN"/>
        </w:rPr>
        <w:t>是指在上级核定额度内发行的、用于偿还以前年度发行的政府债券本金的政府债券，包括再融资一般债券和再融资专项债券。</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lang w:val="zh-CN" w:eastAsia="zh-CN"/>
        </w:rPr>
        <w:t>“</w:t>
      </w:r>
      <w:r>
        <w:rPr>
          <w:rFonts w:hint="eastAsia" w:ascii="仿宋" w:hAnsi="仿宋" w:eastAsia="仿宋" w:cs="仿宋"/>
          <w:b/>
          <w:bCs/>
          <w:sz w:val="32"/>
          <w:szCs w:val="32"/>
          <w:lang w:val="en-US" w:eastAsia="zh-CN"/>
        </w:rPr>
        <w:t>三保”。</w:t>
      </w:r>
      <w:r>
        <w:rPr>
          <w:rFonts w:hint="eastAsia" w:ascii="仿宋" w:hAnsi="仿宋" w:eastAsia="仿宋" w:cs="仿宋"/>
          <w:sz w:val="32"/>
          <w:szCs w:val="32"/>
          <w:lang w:val="en-US" w:eastAsia="zh-CN"/>
        </w:rPr>
        <w:t>即保基本民生、保工资、保运转。2019年，为落实减税降费政策，中央要求各级坚持</w:t>
      </w:r>
      <w:r>
        <w:rPr>
          <w:rFonts w:hint="eastAsia" w:ascii="仿宋" w:hAnsi="仿宋" w:eastAsia="仿宋" w:cs="仿宋"/>
          <w:sz w:val="32"/>
          <w:szCs w:val="32"/>
          <w:lang w:val="zh-CN" w:eastAsia="zh-CN"/>
        </w:rPr>
        <w:t>“过</w:t>
      </w:r>
      <w:r>
        <w:rPr>
          <w:rFonts w:hint="eastAsia" w:ascii="仿宋" w:hAnsi="仿宋" w:eastAsia="仿宋" w:cs="仿宋"/>
          <w:sz w:val="32"/>
          <w:szCs w:val="32"/>
          <w:lang w:val="en-US" w:eastAsia="zh-CN"/>
        </w:rPr>
        <w:t>紧日子</w:t>
      </w:r>
      <w:r>
        <w:rPr>
          <w:rFonts w:hint="eastAsia" w:ascii="仿宋" w:hAnsi="仿宋" w:eastAsia="仿宋" w:cs="仿宋"/>
          <w:sz w:val="32"/>
          <w:szCs w:val="32"/>
          <w:lang w:val="zh-CN" w:eastAsia="zh-CN"/>
        </w:rPr>
        <w:t>”，大</w:t>
      </w:r>
      <w:r>
        <w:rPr>
          <w:rFonts w:hint="eastAsia" w:ascii="仿宋" w:hAnsi="仿宋" w:eastAsia="仿宋" w:cs="仿宋"/>
          <w:sz w:val="32"/>
          <w:szCs w:val="32"/>
          <w:lang w:val="en-US" w:eastAsia="zh-CN"/>
        </w:rPr>
        <w:t>力压缩一般性支出，优先保障干部职工工资发放、保障机关事业单位正常运转、保障基本民生支出兑付到位，同时要求坚持</w:t>
      </w:r>
      <w:r>
        <w:rPr>
          <w:rFonts w:hint="eastAsia" w:ascii="仿宋" w:hAnsi="仿宋" w:eastAsia="仿宋" w:cs="仿宋"/>
          <w:sz w:val="32"/>
          <w:szCs w:val="32"/>
          <w:lang w:val="zh-CN" w:eastAsia="zh-CN"/>
        </w:rPr>
        <w:t>“两个</w:t>
      </w:r>
      <w:r>
        <w:rPr>
          <w:rFonts w:hint="eastAsia" w:ascii="仿宋" w:hAnsi="仿宋" w:eastAsia="仿宋" w:cs="仿宋"/>
          <w:sz w:val="32"/>
          <w:szCs w:val="32"/>
          <w:lang w:val="en-US" w:eastAsia="zh-CN"/>
        </w:rPr>
        <w:t>优先”，即坚持</w:t>
      </w:r>
      <w:r>
        <w:rPr>
          <w:rFonts w:hint="eastAsia" w:ascii="仿宋" w:hAnsi="仿宋" w:eastAsia="仿宋" w:cs="仿宋"/>
          <w:sz w:val="32"/>
          <w:szCs w:val="32"/>
          <w:lang w:val="zh-CN" w:eastAsia="zh-CN"/>
        </w:rPr>
        <w:t>“三保”</w:t>
      </w:r>
      <w:r>
        <w:rPr>
          <w:rFonts w:hint="eastAsia" w:ascii="仿宋" w:hAnsi="仿宋" w:eastAsia="仿宋" w:cs="仿宋"/>
          <w:sz w:val="32"/>
          <w:szCs w:val="32"/>
          <w:lang w:val="en-US" w:eastAsia="zh-CN"/>
        </w:rPr>
        <w:t>支出在财政支出中的优先顺序，坚持国家标</w:t>
      </w:r>
      <w:r>
        <w:rPr>
          <w:rFonts w:hint="eastAsia" w:ascii="仿宋" w:hAnsi="仿宋" w:eastAsia="仿宋" w:cs="仿宋"/>
          <w:sz w:val="32"/>
          <w:szCs w:val="32"/>
          <w:lang w:val="zh-CN" w:eastAsia="zh-CN"/>
        </w:rPr>
        <w:t>准的“</w:t>
      </w:r>
      <w:r>
        <w:rPr>
          <w:rFonts w:hint="eastAsia" w:ascii="仿宋" w:hAnsi="仿宋" w:eastAsia="仿宋" w:cs="仿宋"/>
          <w:sz w:val="32"/>
          <w:szCs w:val="32"/>
          <w:lang w:val="en-US" w:eastAsia="zh-CN"/>
        </w:rPr>
        <w:t>三保”支出在</w:t>
      </w:r>
      <w:r>
        <w:rPr>
          <w:rFonts w:hint="eastAsia" w:ascii="仿宋" w:hAnsi="仿宋" w:eastAsia="仿宋" w:cs="仿宋"/>
          <w:sz w:val="32"/>
          <w:szCs w:val="32"/>
          <w:lang w:val="zh-CN" w:eastAsia="zh-CN"/>
        </w:rPr>
        <w:t>“三保</w:t>
      </w:r>
      <w:r>
        <w:rPr>
          <w:rFonts w:hint="eastAsia" w:ascii="仿宋" w:hAnsi="仿宋" w:eastAsia="仿宋" w:cs="仿宋"/>
          <w:sz w:val="32"/>
          <w:szCs w:val="32"/>
          <w:lang w:val="en-US" w:eastAsia="en-US"/>
        </w:rPr>
        <w:t>"</w:t>
      </w:r>
      <w:r>
        <w:rPr>
          <w:rFonts w:hint="eastAsia" w:ascii="仿宋" w:hAnsi="仿宋" w:eastAsia="仿宋" w:cs="仿宋"/>
          <w:sz w:val="32"/>
          <w:szCs w:val="32"/>
          <w:lang w:val="en-US" w:eastAsia="zh-CN"/>
        </w:rPr>
        <w:t>支出中的优先顺序。2020年2月23日，习近平总书记在统筹推进新冠肺炎疫情防控和经济社会发展工作部署会议上的讲话指出：</w:t>
      </w:r>
      <w:r>
        <w:rPr>
          <w:rFonts w:hint="eastAsia" w:ascii="仿宋" w:hAnsi="仿宋" w:eastAsia="仿宋" w:cs="仿宋"/>
          <w:sz w:val="32"/>
          <w:szCs w:val="32"/>
          <w:lang w:val="zh-CN" w:eastAsia="zh-CN"/>
        </w:rPr>
        <w:t>“一</w:t>
      </w:r>
      <w:r>
        <w:rPr>
          <w:rFonts w:hint="eastAsia" w:ascii="仿宋" w:hAnsi="仿宋" w:eastAsia="仿宋" w:cs="仿宋"/>
          <w:sz w:val="32"/>
          <w:szCs w:val="32"/>
          <w:lang w:val="en-US" w:eastAsia="zh-CN"/>
        </w:rPr>
        <w:t>些地方财政受疫情影响较大，要加大转移支付力度，确保基层保工资、保运转、保基本民生”。</w:t>
      </w:r>
      <w:r>
        <w:rPr>
          <w:rFonts w:hint="eastAsia" w:ascii="仿宋" w:hAnsi="仿宋" w:eastAsia="仿宋" w:cs="仿宋"/>
          <w:sz w:val="32"/>
          <w:szCs w:val="32"/>
          <w:lang w:val="en-US" w:eastAsia="en-US"/>
        </w:rPr>
        <w:t xml:space="preserve"> </w:t>
      </w:r>
      <w:r>
        <w:rPr>
          <w:rFonts w:hint="eastAsia" w:ascii="仿宋" w:hAnsi="仿宋" w:eastAsia="仿宋" w:cs="仿宋"/>
          <w:sz w:val="32"/>
          <w:szCs w:val="32"/>
          <w:lang w:val="en-US" w:eastAsia="zh-CN"/>
        </w:rPr>
        <w:t>2020年3月3日国务院常务会议指出，支持基层政府保基本民生、保工资、保运转，是保障群众切身利益的基本要求，也是推动政府履职和各项政策实施的基础条件。</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lang w:val="en-US" w:eastAsia="en-US"/>
        </w:rPr>
        <w:t>PPP</w:t>
      </w:r>
      <w:r>
        <w:rPr>
          <w:rFonts w:hint="eastAsia" w:ascii="仿宋" w:hAnsi="仿宋" w:eastAsia="仿宋" w:cs="仿宋"/>
          <w:b/>
          <w:bCs/>
          <w:sz w:val="32"/>
          <w:szCs w:val="32"/>
          <w:lang w:val="en-US" w:eastAsia="zh-CN"/>
        </w:rPr>
        <w:t>项目。</w:t>
      </w:r>
      <w:r>
        <w:rPr>
          <w:rFonts w:hint="eastAsia" w:ascii="仿宋" w:hAnsi="仿宋" w:eastAsia="仿宋" w:cs="仿宋"/>
          <w:sz w:val="32"/>
          <w:szCs w:val="32"/>
          <w:lang w:val="en-US" w:eastAsia="zh-CN"/>
        </w:rPr>
        <w:t>即政府和社会资本合作项目，是在基础设施及公共服务领域建立的一种长期合作关系。通常是由政府采取竞争性方式择优选择具有投资、运营管理能力的社会资本，双方按照平等协商原则订立合同，明确责权利关系；由社会资本承担设计、建设、运营、维护基础设施的大部分工作，提供公共服务。政府依据公共服务绩效评价结果向社会资本支付相应对价，保证社会资本获得合理收益、实现公共利益最大化。推广运用政府和社会资本合作项目模式，对于加快新型基础设施建设、新型城镇化建设、重大水利交通项目建设等具有重要意义。</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13、乡村振兴战略。</w:t>
      </w:r>
      <w:r>
        <w:rPr>
          <w:rFonts w:hint="eastAsia" w:ascii="仿宋" w:hAnsi="仿宋" w:eastAsia="仿宋" w:cs="仿宋"/>
          <w:sz w:val="32"/>
          <w:szCs w:val="32"/>
          <w:lang w:val="en-US" w:eastAsia="zh-CN"/>
        </w:rPr>
        <w:t>乡村振兴战略是习近平同志2017年10月18日在党的十九大报告中提出的战略。农业农村农民问题是关系国计民生的根本性问题，必须始终把解决好“三农”问题作为全党工作重中之重，实施乡村振兴战略。2018年2月4日，公布了2018年中央一号文件，即《中共中央国务院关于实施乡村振兴战略的意见》。乡村振兴战略，就是要不断提高村民在产业发展中的参与度和受益面，彻底解决农村产业和农民就业问题，确保当地群众长期稳定增收、安居乐业。</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14、</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四个标杆</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在区第十四届党代会第五次会议上，区委确定了全区“十四五”发展目标定位，提出要立足世界一流高端能化基地核心板块，争创资源型地区转型升级高质量发展的新标杆；要立足中国北方农牧交错地带现代农业发展核心板块，争创全面落实乡村振兴战略的新标杆；要立足黄土高原生态文明示范区建设核心板块，争创生态文明绿色发展的新标杆；要立足陕甘宁晋最具影响力城市核心板块，争创统筹城乡融合发展的新标杆。</w:t>
      </w:r>
    </w:p>
    <w:p>
      <w:pPr>
        <w:keepNext w:val="0"/>
        <w:keepLines w:val="0"/>
        <w:pageBreakBefore w:val="0"/>
        <w:numPr>
          <w:ilvl w:val="0"/>
          <w:numId w:val="0"/>
        </w:numPr>
        <w:kinsoku/>
        <w:wordWrap/>
        <w:overflowPunct/>
        <w:topLinePunct w:val="0"/>
        <w:autoSpaceDE/>
        <w:autoSpaceDN/>
        <w:bidi w:val="0"/>
        <w:adjustRightInd/>
        <w:snapToGrid/>
        <w:spacing w:line="7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15、“六大板块”工作。</w:t>
      </w:r>
      <w:r>
        <w:rPr>
          <w:rFonts w:hint="eastAsia" w:ascii="仿宋" w:hAnsi="仿宋" w:eastAsia="仿宋" w:cs="仿宋"/>
          <w:sz w:val="32"/>
          <w:szCs w:val="32"/>
          <w:lang w:val="en-US" w:eastAsia="zh-CN"/>
        </w:rPr>
        <w:t>在区第十四届党代会第五次会议上，区委确定2021年转型升级高质量发展重点任务，即重点抓好高端能源化工、战略新兴产业、乡村振兴战略、全域文化旅游、生态环境建设、民生社会治理“六大板块”工作。</w:t>
      </w:r>
    </w:p>
    <w:p>
      <w:pPr>
        <w:keepNext w:val="0"/>
        <w:keepLines w:val="0"/>
        <w:pageBreakBefore w:val="0"/>
        <w:numPr>
          <w:ilvl w:val="0"/>
          <w:numId w:val="0"/>
        </w:numPr>
        <w:kinsoku/>
        <w:wordWrap/>
        <w:overflowPunct/>
        <w:topLinePunct w:val="0"/>
        <w:autoSpaceDE/>
        <w:autoSpaceDN/>
        <w:bidi w:val="0"/>
        <w:adjustRightInd/>
        <w:snapToGrid/>
        <w:spacing w:line="7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b/>
          <w:bCs/>
          <w:sz w:val="32"/>
          <w:szCs w:val="32"/>
          <w:lang w:val="en-US" w:eastAsia="zh-CN"/>
        </w:rPr>
        <w:t>16、“3+2+X”现代农业新兴主导产业。</w:t>
      </w:r>
      <w:bookmarkEnd w:id="0"/>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3”就是在种植业领域重点发展优质果树、大漠蔬菜、优质饲草</w:t>
      </w:r>
      <w:r>
        <w:rPr>
          <w:rFonts w:hint="eastAsia" w:ascii="仿宋" w:hAnsi="仿宋" w:eastAsia="仿宋" w:cs="仿宋"/>
          <w:sz w:val="32"/>
          <w:szCs w:val="32"/>
          <w:lang w:val="en-US" w:eastAsia="zh-CN"/>
        </w:rPr>
        <w:t>3个新兴主导产业；“2”就是在养殖业领域重点发展榆阳湖羊、优质肉牛2个新兴主导产业；“X”就是鼓励各乡镇、村组及新型经营主体因地制宜发展优质高效的特色优势产业。</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3</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62213"/>
    <w:multiLevelType w:val="singleLevel"/>
    <w:tmpl w:val="85D62213"/>
    <w:lvl w:ilvl="0" w:tentative="0">
      <w:start w:val="1"/>
      <w:numFmt w:val="decimal"/>
      <w:suff w:val="nothing"/>
      <w:lvlText w:val="%1、"/>
      <w:lvlJc w:val="left"/>
    </w:lvl>
  </w:abstractNum>
  <w:abstractNum w:abstractNumId="1">
    <w:nsid w:val="E8D4F210"/>
    <w:multiLevelType w:val="singleLevel"/>
    <w:tmpl w:val="E8D4F21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D4"/>
    <w:rsid w:val="00000742"/>
    <w:rsid w:val="00002384"/>
    <w:rsid w:val="00002A89"/>
    <w:rsid w:val="00004F4A"/>
    <w:rsid w:val="000118EF"/>
    <w:rsid w:val="000157B2"/>
    <w:rsid w:val="00015954"/>
    <w:rsid w:val="00023F33"/>
    <w:rsid w:val="00030C9D"/>
    <w:rsid w:val="00031BB3"/>
    <w:rsid w:val="00041FD1"/>
    <w:rsid w:val="000506C7"/>
    <w:rsid w:val="00063E5A"/>
    <w:rsid w:val="0009525D"/>
    <w:rsid w:val="000953A7"/>
    <w:rsid w:val="000A0F54"/>
    <w:rsid w:val="000A291D"/>
    <w:rsid w:val="000A77F5"/>
    <w:rsid w:val="000C43C9"/>
    <w:rsid w:val="000D1273"/>
    <w:rsid w:val="000D19CB"/>
    <w:rsid w:val="000D4A22"/>
    <w:rsid w:val="000D6162"/>
    <w:rsid w:val="000E2D1C"/>
    <w:rsid w:val="000E701C"/>
    <w:rsid w:val="000F15E6"/>
    <w:rsid w:val="000F4E37"/>
    <w:rsid w:val="001055BC"/>
    <w:rsid w:val="00111F22"/>
    <w:rsid w:val="0011582B"/>
    <w:rsid w:val="00115FDD"/>
    <w:rsid w:val="001178BE"/>
    <w:rsid w:val="001329DA"/>
    <w:rsid w:val="0016126B"/>
    <w:rsid w:val="00164B60"/>
    <w:rsid w:val="0018519F"/>
    <w:rsid w:val="00193497"/>
    <w:rsid w:val="001A3536"/>
    <w:rsid w:val="001A575D"/>
    <w:rsid w:val="001B7AC6"/>
    <w:rsid w:val="001C1F91"/>
    <w:rsid w:val="001C3BE5"/>
    <w:rsid w:val="001C4787"/>
    <w:rsid w:val="001E6A64"/>
    <w:rsid w:val="001F64CF"/>
    <w:rsid w:val="002104B4"/>
    <w:rsid w:val="0021638C"/>
    <w:rsid w:val="00217C99"/>
    <w:rsid w:val="00232851"/>
    <w:rsid w:val="002426F8"/>
    <w:rsid w:val="00244B53"/>
    <w:rsid w:val="00246FD7"/>
    <w:rsid w:val="00261CA3"/>
    <w:rsid w:val="002634FB"/>
    <w:rsid w:val="00264BB5"/>
    <w:rsid w:val="002671FC"/>
    <w:rsid w:val="00292A30"/>
    <w:rsid w:val="00293EF5"/>
    <w:rsid w:val="002A6BA7"/>
    <w:rsid w:val="002B302F"/>
    <w:rsid w:val="002B466E"/>
    <w:rsid w:val="002D2F4E"/>
    <w:rsid w:val="002E1D7A"/>
    <w:rsid w:val="002E3B40"/>
    <w:rsid w:val="00302F38"/>
    <w:rsid w:val="0031028D"/>
    <w:rsid w:val="003149D7"/>
    <w:rsid w:val="00320390"/>
    <w:rsid w:val="00322F9A"/>
    <w:rsid w:val="003237A5"/>
    <w:rsid w:val="00325670"/>
    <w:rsid w:val="00331F4A"/>
    <w:rsid w:val="00334D3E"/>
    <w:rsid w:val="00340AD9"/>
    <w:rsid w:val="00352781"/>
    <w:rsid w:val="00355E51"/>
    <w:rsid w:val="003666F9"/>
    <w:rsid w:val="003723EB"/>
    <w:rsid w:val="00381D2B"/>
    <w:rsid w:val="003857AF"/>
    <w:rsid w:val="00392613"/>
    <w:rsid w:val="003951BF"/>
    <w:rsid w:val="003A1478"/>
    <w:rsid w:val="003A1F3A"/>
    <w:rsid w:val="003A5E3A"/>
    <w:rsid w:val="003C5553"/>
    <w:rsid w:val="003C5D11"/>
    <w:rsid w:val="003F2E47"/>
    <w:rsid w:val="003F5BF3"/>
    <w:rsid w:val="003F6FA4"/>
    <w:rsid w:val="00401328"/>
    <w:rsid w:val="004027D9"/>
    <w:rsid w:val="00432C96"/>
    <w:rsid w:val="00433EDE"/>
    <w:rsid w:val="00442A44"/>
    <w:rsid w:val="00443D65"/>
    <w:rsid w:val="004468B7"/>
    <w:rsid w:val="00453FFE"/>
    <w:rsid w:val="004611A4"/>
    <w:rsid w:val="00461480"/>
    <w:rsid w:val="004660A6"/>
    <w:rsid w:val="0047381E"/>
    <w:rsid w:val="00473F08"/>
    <w:rsid w:val="00495DBD"/>
    <w:rsid w:val="004A68E6"/>
    <w:rsid w:val="004A72C5"/>
    <w:rsid w:val="004D234E"/>
    <w:rsid w:val="004D31ED"/>
    <w:rsid w:val="004D6029"/>
    <w:rsid w:val="004E3482"/>
    <w:rsid w:val="004E7913"/>
    <w:rsid w:val="004F276C"/>
    <w:rsid w:val="004F4422"/>
    <w:rsid w:val="005059FF"/>
    <w:rsid w:val="00511C52"/>
    <w:rsid w:val="00525AC3"/>
    <w:rsid w:val="00557A81"/>
    <w:rsid w:val="0058087B"/>
    <w:rsid w:val="00582EC1"/>
    <w:rsid w:val="00590FE2"/>
    <w:rsid w:val="005A1E65"/>
    <w:rsid w:val="005A3763"/>
    <w:rsid w:val="005B2857"/>
    <w:rsid w:val="005C1770"/>
    <w:rsid w:val="005D0528"/>
    <w:rsid w:val="005E12D6"/>
    <w:rsid w:val="005E23E4"/>
    <w:rsid w:val="00604642"/>
    <w:rsid w:val="0060661C"/>
    <w:rsid w:val="00627EF3"/>
    <w:rsid w:val="00651A9A"/>
    <w:rsid w:val="00651B0C"/>
    <w:rsid w:val="00660084"/>
    <w:rsid w:val="00660258"/>
    <w:rsid w:val="00665306"/>
    <w:rsid w:val="00673367"/>
    <w:rsid w:val="0068256D"/>
    <w:rsid w:val="00683307"/>
    <w:rsid w:val="00684AA2"/>
    <w:rsid w:val="006857D7"/>
    <w:rsid w:val="006B37B3"/>
    <w:rsid w:val="006B6694"/>
    <w:rsid w:val="006D25BA"/>
    <w:rsid w:val="006E1C89"/>
    <w:rsid w:val="006F54A6"/>
    <w:rsid w:val="00700FDC"/>
    <w:rsid w:val="0070509A"/>
    <w:rsid w:val="00716F18"/>
    <w:rsid w:val="00721861"/>
    <w:rsid w:val="0073018F"/>
    <w:rsid w:val="00742831"/>
    <w:rsid w:val="00747101"/>
    <w:rsid w:val="007521EA"/>
    <w:rsid w:val="0075265B"/>
    <w:rsid w:val="007600AA"/>
    <w:rsid w:val="00762CB1"/>
    <w:rsid w:val="00783258"/>
    <w:rsid w:val="00785086"/>
    <w:rsid w:val="00790F2A"/>
    <w:rsid w:val="00793B73"/>
    <w:rsid w:val="007A5FB2"/>
    <w:rsid w:val="007B06F6"/>
    <w:rsid w:val="007B4B3F"/>
    <w:rsid w:val="007B579F"/>
    <w:rsid w:val="007C03C1"/>
    <w:rsid w:val="007C34A8"/>
    <w:rsid w:val="008172A5"/>
    <w:rsid w:val="008258F0"/>
    <w:rsid w:val="0083475D"/>
    <w:rsid w:val="00847427"/>
    <w:rsid w:val="008547A6"/>
    <w:rsid w:val="00855CD1"/>
    <w:rsid w:val="00862D2A"/>
    <w:rsid w:val="00864693"/>
    <w:rsid w:val="008646EF"/>
    <w:rsid w:val="00875D9A"/>
    <w:rsid w:val="00882338"/>
    <w:rsid w:val="0088650B"/>
    <w:rsid w:val="00886CB4"/>
    <w:rsid w:val="008912FC"/>
    <w:rsid w:val="008A144E"/>
    <w:rsid w:val="008D6426"/>
    <w:rsid w:val="008D79C8"/>
    <w:rsid w:val="008F157B"/>
    <w:rsid w:val="008F22D4"/>
    <w:rsid w:val="008F7CD8"/>
    <w:rsid w:val="009200FD"/>
    <w:rsid w:val="00940A65"/>
    <w:rsid w:val="0094733E"/>
    <w:rsid w:val="0095559B"/>
    <w:rsid w:val="00957011"/>
    <w:rsid w:val="00963208"/>
    <w:rsid w:val="009664DC"/>
    <w:rsid w:val="009747F9"/>
    <w:rsid w:val="009754B8"/>
    <w:rsid w:val="00981121"/>
    <w:rsid w:val="009867B7"/>
    <w:rsid w:val="00997A55"/>
    <w:rsid w:val="009A1AF2"/>
    <w:rsid w:val="009A3BF5"/>
    <w:rsid w:val="009C3B49"/>
    <w:rsid w:val="009C60F2"/>
    <w:rsid w:val="009D3433"/>
    <w:rsid w:val="009D4721"/>
    <w:rsid w:val="009D5E72"/>
    <w:rsid w:val="009E12C5"/>
    <w:rsid w:val="009E57FA"/>
    <w:rsid w:val="009E5B1C"/>
    <w:rsid w:val="009F21C1"/>
    <w:rsid w:val="009F2A38"/>
    <w:rsid w:val="00A07E0E"/>
    <w:rsid w:val="00A21B15"/>
    <w:rsid w:val="00A25A47"/>
    <w:rsid w:val="00A431CF"/>
    <w:rsid w:val="00A432B8"/>
    <w:rsid w:val="00A568E5"/>
    <w:rsid w:val="00A64197"/>
    <w:rsid w:val="00A642D9"/>
    <w:rsid w:val="00A71B68"/>
    <w:rsid w:val="00A82F54"/>
    <w:rsid w:val="00AA5AD4"/>
    <w:rsid w:val="00AC2E06"/>
    <w:rsid w:val="00AF4CE8"/>
    <w:rsid w:val="00B05D1F"/>
    <w:rsid w:val="00B06A8E"/>
    <w:rsid w:val="00B11C12"/>
    <w:rsid w:val="00B236B7"/>
    <w:rsid w:val="00B43E04"/>
    <w:rsid w:val="00B47FC3"/>
    <w:rsid w:val="00B555DE"/>
    <w:rsid w:val="00B5594D"/>
    <w:rsid w:val="00B57411"/>
    <w:rsid w:val="00B62316"/>
    <w:rsid w:val="00B74A0F"/>
    <w:rsid w:val="00B871E7"/>
    <w:rsid w:val="00B97238"/>
    <w:rsid w:val="00B97436"/>
    <w:rsid w:val="00BC02CB"/>
    <w:rsid w:val="00BD1A1D"/>
    <w:rsid w:val="00BE1498"/>
    <w:rsid w:val="00BE3848"/>
    <w:rsid w:val="00C02B40"/>
    <w:rsid w:val="00C131CC"/>
    <w:rsid w:val="00C13230"/>
    <w:rsid w:val="00C22BF9"/>
    <w:rsid w:val="00C26CB4"/>
    <w:rsid w:val="00C37092"/>
    <w:rsid w:val="00C672B0"/>
    <w:rsid w:val="00C700A3"/>
    <w:rsid w:val="00C70F4C"/>
    <w:rsid w:val="00C8079B"/>
    <w:rsid w:val="00C822F1"/>
    <w:rsid w:val="00C9184E"/>
    <w:rsid w:val="00C92463"/>
    <w:rsid w:val="00CB3812"/>
    <w:rsid w:val="00CB79B1"/>
    <w:rsid w:val="00CC0727"/>
    <w:rsid w:val="00CC7770"/>
    <w:rsid w:val="00CD2B56"/>
    <w:rsid w:val="00CD30F2"/>
    <w:rsid w:val="00CF11F6"/>
    <w:rsid w:val="00D06A09"/>
    <w:rsid w:val="00D07E85"/>
    <w:rsid w:val="00D13BFD"/>
    <w:rsid w:val="00D24543"/>
    <w:rsid w:val="00D25B39"/>
    <w:rsid w:val="00D25CD4"/>
    <w:rsid w:val="00D2681B"/>
    <w:rsid w:val="00D27418"/>
    <w:rsid w:val="00D440F2"/>
    <w:rsid w:val="00D45F58"/>
    <w:rsid w:val="00D46E3A"/>
    <w:rsid w:val="00D57C62"/>
    <w:rsid w:val="00D706BD"/>
    <w:rsid w:val="00D7088B"/>
    <w:rsid w:val="00D72864"/>
    <w:rsid w:val="00D7300F"/>
    <w:rsid w:val="00D74BE7"/>
    <w:rsid w:val="00D76653"/>
    <w:rsid w:val="00D82D28"/>
    <w:rsid w:val="00D859CF"/>
    <w:rsid w:val="00D913E6"/>
    <w:rsid w:val="00DA6DBE"/>
    <w:rsid w:val="00DB0B8B"/>
    <w:rsid w:val="00DD0F0C"/>
    <w:rsid w:val="00DD405B"/>
    <w:rsid w:val="00E06F5E"/>
    <w:rsid w:val="00E12F72"/>
    <w:rsid w:val="00E13A5B"/>
    <w:rsid w:val="00E272CF"/>
    <w:rsid w:val="00E30D78"/>
    <w:rsid w:val="00E435DD"/>
    <w:rsid w:val="00E43639"/>
    <w:rsid w:val="00E43CF8"/>
    <w:rsid w:val="00E6038B"/>
    <w:rsid w:val="00E75AD9"/>
    <w:rsid w:val="00E766BE"/>
    <w:rsid w:val="00E82D24"/>
    <w:rsid w:val="00E83B60"/>
    <w:rsid w:val="00E90577"/>
    <w:rsid w:val="00E93452"/>
    <w:rsid w:val="00E950F3"/>
    <w:rsid w:val="00EB0927"/>
    <w:rsid w:val="00EB1286"/>
    <w:rsid w:val="00EC7134"/>
    <w:rsid w:val="00ED47A6"/>
    <w:rsid w:val="00ED568B"/>
    <w:rsid w:val="00ED6C9C"/>
    <w:rsid w:val="00F04923"/>
    <w:rsid w:val="00F071CB"/>
    <w:rsid w:val="00F119A5"/>
    <w:rsid w:val="00F11C7E"/>
    <w:rsid w:val="00F1519B"/>
    <w:rsid w:val="00F246F9"/>
    <w:rsid w:val="00F326F6"/>
    <w:rsid w:val="00F364BD"/>
    <w:rsid w:val="00F469A1"/>
    <w:rsid w:val="00F47C41"/>
    <w:rsid w:val="00F51739"/>
    <w:rsid w:val="00F6299C"/>
    <w:rsid w:val="00F73217"/>
    <w:rsid w:val="00F73D91"/>
    <w:rsid w:val="00F8385D"/>
    <w:rsid w:val="00F926F3"/>
    <w:rsid w:val="00FB0AB6"/>
    <w:rsid w:val="00FB1A0A"/>
    <w:rsid w:val="00FD0BDC"/>
    <w:rsid w:val="00FD5984"/>
    <w:rsid w:val="00FD6871"/>
    <w:rsid w:val="01134751"/>
    <w:rsid w:val="01A41D0B"/>
    <w:rsid w:val="020D0C0A"/>
    <w:rsid w:val="02DF2D8B"/>
    <w:rsid w:val="03DD0438"/>
    <w:rsid w:val="03E334C6"/>
    <w:rsid w:val="045D5206"/>
    <w:rsid w:val="04A511D7"/>
    <w:rsid w:val="04F832AE"/>
    <w:rsid w:val="06737D20"/>
    <w:rsid w:val="06766CC7"/>
    <w:rsid w:val="06C04F4A"/>
    <w:rsid w:val="073E4F7C"/>
    <w:rsid w:val="07494508"/>
    <w:rsid w:val="07687B44"/>
    <w:rsid w:val="08201EBF"/>
    <w:rsid w:val="08373EFA"/>
    <w:rsid w:val="098E37E0"/>
    <w:rsid w:val="09C20ABD"/>
    <w:rsid w:val="0A0B213E"/>
    <w:rsid w:val="0A754D70"/>
    <w:rsid w:val="0C902D8E"/>
    <w:rsid w:val="0CB0058B"/>
    <w:rsid w:val="0D256D12"/>
    <w:rsid w:val="0D2765AE"/>
    <w:rsid w:val="0D8F2149"/>
    <w:rsid w:val="0EBF77C7"/>
    <w:rsid w:val="0F042587"/>
    <w:rsid w:val="0F69413C"/>
    <w:rsid w:val="0F704A6F"/>
    <w:rsid w:val="11392BE1"/>
    <w:rsid w:val="123F7115"/>
    <w:rsid w:val="124133A9"/>
    <w:rsid w:val="134932EA"/>
    <w:rsid w:val="13B539A3"/>
    <w:rsid w:val="140556F6"/>
    <w:rsid w:val="14923784"/>
    <w:rsid w:val="14CB59C0"/>
    <w:rsid w:val="15192E46"/>
    <w:rsid w:val="16081D8A"/>
    <w:rsid w:val="162F3620"/>
    <w:rsid w:val="164F1F10"/>
    <w:rsid w:val="187866A8"/>
    <w:rsid w:val="18A23740"/>
    <w:rsid w:val="1BA81A3B"/>
    <w:rsid w:val="1BB509FB"/>
    <w:rsid w:val="1C122E2F"/>
    <w:rsid w:val="1C917CCD"/>
    <w:rsid w:val="1C9255B8"/>
    <w:rsid w:val="1C9B2DD9"/>
    <w:rsid w:val="1D001D87"/>
    <w:rsid w:val="1E140A79"/>
    <w:rsid w:val="1E492BCE"/>
    <w:rsid w:val="1FF41E8A"/>
    <w:rsid w:val="20185192"/>
    <w:rsid w:val="20214950"/>
    <w:rsid w:val="209E6839"/>
    <w:rsid w:val="225615AB"/>
    <w:rsid w:val="22BD2BF5"/>
    <w:rsid w:val="24B8236B"/>
    <w:rsid w:val="251B0C0A"/>
    <w:rsid w:val="263D5211"/>
    <w:rsid w:val="26402C35"/>
    <w:rsid w:val="26D83606"/>
    <w:rsid w:val="283508C3"/>
    <w:rsid w:val="285334C2"/>
    <w:rsid w:val="291F5E4B"/>
    <w:rsid w:val="29A31608"/>
    <w:rsid w:val="2A21044F"/>
    <w:rsid w:val="2AAC1C0B"/>
    <w:rsid w:val="2C5A26BC"/>
    <w:rsid w:val="2D197C17"/>
    <w:rsid w:val="2E045E62"/>
    <w:rsid w:val="2F334E20"/>
    <w:rsid w:val="2F937C4B"/>
    <w:rsid w:val="2FC471D4"/>
    <w:rsid w:val="2FD16883"/>
    <w:rsid w:val="30B4230D"/>
    <w:rsid w:val="317000A9"/>
    <w:rsid w:val="31ED0E1A"/>
    <w:rsid w:val="32336A41"/>
    <w:rsid w:val="32E77121"/>
    <w:rsid w:val="35FF2062"/>
    <w:rsid w:val="379351E9"/>
    <w:rsid w:val="385671B8"/>
    <w:rsid w:val="38E7568F"/>
    <w:rsid w:val="395A7715"/>
    <w:rsid w:val="3A0B3BCC"/>
    <w:rsid w:val="3A872417"/>
    <w:rsid w:val="3AED2D1E"/>
    <w:rsid w:val="3B160023"/>
    <w:rsid w:val="3CB7251C"/>
    <w:rsid w:val="3CF929E6"/>
    <w:rsid w:val="3E354016"/>
    <w:rsid w:val="3EEC72D5"/>
    <w:rsid w:val="3F181BA9"/>
    <w:rsid w:val="3FA532A7"/>
    <w:rsid w:val="3FEE5989"/>
    <w:rsid w:val="40850279"/>
    <w:rsid w:val="41623857"/>
    <w:rsid w:val="41C67628"/>
    <w:rsid w:val="42DF02CB"/>
    <w:rsid w:val="43AE1D17"/>
    <w:rsid w:val="43AE37EE"/>
    <w:rsid w:val="44AD1DDE"/>
    <w:rsid w:val="4576792E"/>
    <w:rsid w:val="45B92EC6"/>
    <w:rsid w:val="461E4CCA"/>
    <w:rsid w:val="46367C2B"/>
    <w:rsid w:val="46AE7433"/>
    <w:rsid w:val="471769D4"/>
    <w:rsid w:val="471A44F8"/>
    <w:rsid w:val="47663B96"/>
    <w:rsid w:val="47A62C08"/>
    <w:rsid w:val="48B26046"/>
    <w:rsid w:val="49697591"/>
    <w:rsid w:val="49A60618"/>
    <w:rsid w:val="4A20790A"/>
    <w:rsid w:val="4B2E25D3"/>
    <w:rsid w:val="4B3835E2"/>
    <w:rsid w:val="4CB937B7"/>
    <w:rsid w:val="4CC730AF"/>
    <w:rsid w:val="4D9E2C64"/>
    <w:rsid w:val="4F1D4051"/>
    <w:rsid w:val="4F4012BD"/>
    <w:rsid w:val="4F896B1B"/>
    <w:rsid w:val="4FA13B57"/>
    <w:rsid w:val="4FCE7075"/>
    <w:rsid w:val="50277417"/>
    <w:rsid w:val="50837C23"/>
    <w:rsid w:val="50855EE6"/>
    <w:rsid w:val="511372AA"/>
    <w:rsid w:val="528341B0"/>
    <w:rsid w:val="53661582"/>
    <w:rsid w:val="5370059A"/>
    <w:rsid w:val="54247231"/>
    <w:rsid w:val="542D259E"/>
    <w:rsid w:val="546561FA"/>
    <w:rsid w:val="56182FE0"/>
    <w:rsid w:val="56293A58"/>
    <w:rsid w:val="570C2940"/>
    <w:rsid w:val="57DD29BB"/>
    <w:rsid w:val="57EC216E"/>
    <w:rsid w:val="587C351D"/>
    <w:rsid w:val="5913319F"/>
    <w:rsid w:val="592426EF"/>
    <w:rsid w:val="5A5A50ED"/>
    <w:rsid w:val="5AD90DA8"/>
    <w:rsid w:val="5B415494"/>
    <w:rsid w:val="5B425ED5"/>
    <w:rsid w:val="5B5C6491"/>
    <w:rsid w:val="5B866044"/>
    <w:rsid w:val="5BBF6A12"/>
    <w:rsid w:val="5C3279E9"/>
    <w:rsid w:val="5CCD5F1B"/>
    <w:rsid w:val="5EED35BA"/>
    <w:rsid w:val="60DA2E1A"/>
    <w:rsid w:val="61A96C20"/>
    <w:rsid w:val="61E052AF"/>
    <w:rsid w:val="61E45133"/>
    <w:rsid w:val="61F17A0C"/>
    <w:rsid w:val="61F34558"/>
    <w:rsid w:val="626D2AEE"/>
    <w:rsid w:val="635C3E7F"/>
    <w:rsid w:val="63C17666"/>
    <w:rsid w:val="64AB718E"/>
    <w:rsid w:val="667007CC"/>
    <w:rsid w:val="67210BA7"/>
    <w:rsid w:val="680A63A2"/>
    <w:rsid w:val="6810071A"/>
    <w:rsid w:val="68492D07"/>
    <w:rsid w:val="686766AE"/>
    <w:rsid w:val="688D3EAD"/>
    <w:rsid w:val="6BD75599"/>
    <w:rsid w:val="6D6D6B84"/>
    <w:rsid w:val="6F7C3875"/>
    <w:rsid w:val="70060E23"/>
    <w:rsid w:val="70A62349"/>
    <w:rsid w:val="70B94004"/>
    <w:rsid w:val="732976A5"/>
    <w:rsid w:val="73402477"/>
    <w:rsid w:val="73895D93"/>
    <w:rsid w:val="73BB0DE2"/>
    <w:rsid w:val="75074A78"/>
    <w:rsid w:val="7580702D"/>
    <w:rsid w:val="762B759D"/>
    <w:rsid w:val="78285E26"/>
    <w:rsid w:val="78F21DA1"/>
    <w:rsid w:val="79B2091E"/>
    <w:rsid w:val="79FF3127"/>
    <w:rsid w:val="7A3123BF"/>
    <w:rsid w:val="7A40567F"/>
    <w:rsid w:val="7B796A7E"/>
    <w:rsid w:val="7C36044C"/>
    <w:rsid w:val="7C893AB8"/>
    <w:rsid w:val="7C923186"/>
    <w:rsid w:val="7D2C3277"/>
    <w:rsid w:val="7DB937DB"/>
    <w:rsid w:val="7E747AD7"/>
    <w:rsid w:val="7F1B086C"/>
    <w:rsid w:val="7F860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character" w:styleId="9">
    <w:name w:val="Emphasis"/>
    <w:basedOn w:val="8"/>
    <w:qFormat/>
    <w:uiPriority w:val="20"/>
    <w:rPr>
      <w:i/>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四级标题1.1.1.1"/>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14">
    <w:name w:val="Char1"/>
    <w:basedOn w:val="1"/>
    <w:qFormat/>
    <w:uiPriority w:val="0"/>
    <w:rPr>
      <w:rFonts w:ascii="仿宋_GB2312" w:eastAsia="仿宋_GB2312"/>
      <w:b/>
      <w:sz w:val="32"/>
      <w:szCs w:val="32"/>
    </w:rPr>
  </w:style>
  <w:style w:type="paragraph" w:customStyle="1" w:styleId="15">
    <w:name w:val="列出段落1"/>
    <w:basedOn w:val="1"/>
    <w:qFormat/>
    <w:uiPriority w:val="34"/>
    <w:pPr>
      <w:ind w:firstLine="420" w:firstLineChars="200"/>
    </w:pPr>
  </w:style>
  <w:style w:type="paragraph" w:customStyle="1" w:styleId="16">
    <w:name w:val="Body text|1"/>
    <w:basedOn w:val="1"/>
    <w:qFormat/>
    <w:uiPriority w:val="0"/>
    <w:pPr>
      <w:widowControl w:val="0"/>
      <w:shd w:val="clear" w:color="auto" w:fill="auto"/>
      <w:spacing w:line="456"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9E547-B7E7-4D79-A0A9-FFDCE82225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7783</Words>
  <Characters>1222</Characters>
  <Lines>10</Lines>
  <Paragraphs>17</Paragraphs>
  <TotalTime>8</TotalTime>
  <ScaleCrop>false</ScaleCrop>
  <LinksUpToDate>false</LinksUpToDate>
  <CharactersWithSpaces>8988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2017-12-30T05:58:00Z</dcterms:created>
  <dc:creator>王国芳(返回拟稿人)</dc:creator>
  <cp:lastModifiedBy>dell</cp:lastModifiedBy>
  <cp:lastPrinted>2020-01-22T00:07:00Z</cp:lastPrinted>
  <dcterms:modified xsi:type="dcterms:W3CDTF">2021-02-03T09:18:11Z</dcterms:modified>
  <dc:title>说明1</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