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说明1</w:t>
      </w:r>
    </w:p>
    <w:p>
      <w:pPr>
        <w:pStyle w:val="2"/>
        <w:keepNext w:val="0"/>
        <w:keepLines w:val="0"/>
        <w:widowControl/>
        <w:suppressLineNumbers w:val="0"/>
        <w:spacing w:before="75" w:beforeAutospacing="0" w:after="75" w:afterAutospacing="0"/>
        <w:ind w:left="0" w:right="0" w:firstLine="420"/>
        <w:jc w:val="center"/>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关于2020年一般公共预算执行情况的说明</w:t>
      </w:r>
    </w:p>
    <w:p>
      <w:pPr>
        <w:pStyle w:val="2"/>
        <w:keepNext w:val="0"/>
        <w:keepLines w:val="0"/>
        <w:widowControl/>
        <w:suppressLineNumbers w:val="0"/>
        <w:spacing w:before="75" w:beforeAutospacing="0" w:after="75" w:afterAutospacing="0"/>
        <w:ind w:right="0" w:firstLine="640" w:firstLineChars="20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一般公共预算，是对以税收为主体的财政收入，安排用于保障和改善民生、推动经济社会发展、维护国家安全、维持国家机构正常运转等方面的收支预算。</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2020年，一般公共预算执行情况主要是：</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一、收入预算执行情况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区十八届人大六次会议审议批准的全区2020年一般公共预算收入年初目标为60亿元</w:t>
      </w:r>
      <w:r>
        <w:rPr>
          <w:rFonts w:hint="eastAsia" w:asciiTheme="minorEastAsia" w:hAnsiTheme="minorEastAsia" w:eastAsiaTheme="minorEastAsia" w:cstheme="minorEastAsia"/>
          <w:i w:val="0"/>
          <w:caps w:val="0"/>
          <w:color w:val="000000"/>
          <w:spacing w:val="0"/>
          <w:sz w:val="32"/>
          <w:szCs w:val="32"/>
          <w:lang w:eastAsia="zh-CN"/>
        </w:rPr>
        <w:t>，</w:t>
      </w:r>
      <w:r>
        <w:rPr>
          <w:rFonts w:hint="eastAsia" w:asciiTheme="minorEastAsia" w:hAnsiTheme="minorEastAsia" w:eastAsiaTheme="minorEastAsia" w:cstheme="minorEastAsia"/>
          <w:i w:val="0"/>
          <w:caps w:val="0"/>
          <w:color w:val="000000"/>
          <w:spacing w:val="0"/>
          <w:sz w:val="32"/>
          <w:szCs w:val="32"/>
        </w:rPr>
        <w:t>增长15.2%</w:t>
      </w:r>
      <w:r>
        <w:rPr>
          <w:rFonts w:hint="eastAsia" w:asciiTheme="minorEastAsia" w:hAnsiTheme="minorEastAsia" w:cstheme="minorEastAsia"/>
          <w:i w:val="0"/>
          <w:caps w:val="0"/>
          <w:color w:val="000000"/>
          <w:spacing w:val="0"/>
          <w:sz w:val="32"/>
          <w:szCs w:val="32"/>
          <w:lang w:eastAsia="zh-CN"/>
        </w:rPr>
        <w:t>；</w:t>
      </w:r>
      <w:r>
        <w:rPr>
          <w:rFonts w:hint="eastAsia" w:asciiTheme="minorEastAsia" w:hAnsiTheme="minorEastAsia" w:eastAsiaTheme="minorEastAsia" w:cstheme="minorEastAsia"/>
          <w:i w:val="0"/>
          <w:caps w:val="0"/>
          <w:color w:val="000000"/>
          <w:spacing w:val="0"/>
          <w:sz w:val="32"/>
          <w:szCs w:val="32"/>
        </w:rPr>
        <w:t>2020年，全区地方一般公共预算收入60.30亿元，完成年初预算的</w:t>
      </w:r>
      <w:r>
        <w:rPr>
          <w:rFonts w:hint="eastAsia" w:asciiTheme="minorEastAsia" w:hAnsiTheme="minorEastAsia" w:cstheme="minorEastAsia"/>
          <w:i w:val="0"/>
          <w:caps w:val="0"/>
          <w:color w:val="000000"/>
          <w:spacing w:val="0"/>
          <w:sz w:val="32"/>
          <w:szCs w:val="32"/>
          <w:lang w:val="en-US" w:eastAsia="zh-CN"/>
        </w:rPr>
        <w:t>1</w:t>
      </w:r>
      <w:r>
        <w:rPr>
          <w:rFonts w:hint="eastAsia" w:asciiTheme="minorEastAsia" w:hAnsiTheme="minorEastAsia" w:eastAsiaTheme="minorEastAsia" w:cstheme="minorEastAsia"/>
          <w:i w:val="0"/>
          <w:caps w:val="0"/>
          <w:color w:val="000000"/>
          <w:spacing w:val="0"/>
          <w:sz w:val="32"/>
          <w:szCs w:val="32"/>
        </w:rPr>
        <w:t>00.49%，较上年增长15.73%</w:t>
      </w:r>
      <w:r>
        <w:rPr>
          <w:rFonts w:hint="eastAsia" w:asciiTheme="minorEastAsia" w:hAnsiTheme="minorEastAsia" w:cstheme="minorEastAsia"/>
          <w:i w:val="0"/>
          <w:caps w:val="0"/>
          <w:color w:val="000000"/>
          <w:spacing w:val="0"/>
          <w:sz w:val="32"/>
          <w:szCs w:val="32"/>
          <w:lang w:eastAsia="zh-CN"/>
        </w:rPr>
        <w:t>，</w:t>
      </w:r>
      <w:r>
        <w:rPr>
          <w:rFonts w:hint="eastAsia" w:ascii="仿宋" w:hAnsi="仿宋" w:cs="仿宋"/>
          <w:color w:val="auto"/>
          <w:sz w:val="32"/>
          <w:szCs w:val="32"/>
          <w:highlight w:val="none"/>
          <w:lang w:val="en-US" w:eastAsia="zh-CN"/>
        </w:rPr>
        <w:t>主要</w:t>
      </w:r>
      <w:r>
        <w:rPr>
          <w:rFonts w:hint="eastAsia" w:ascii="仿宋" w:hAnsi="仿宋" w:cs="仿宋"/>
          <w:color w:val="auto"/>
          <w:sz w:val="32"/>
          <w:szCs w:val="32"/>
          <w:highlight w:val="none"/>
          <w:lang w:eastAsia="zh-CN"/>
        </w:rPr>
        <w:t>原因是全区各级财税部门紧紧围绕“</w:t>
      </w:r>
      <w:r>
        <w:rPr>
          <w:rFonts w:hint="eastAsia" w:ascii="仿宋" w:hAnsi="仿宋" w:cs="仿宋"/>
          <w:color w:val="auto"/>
          <w:sz w:val="32"/>
          <w:szCs w:val="32"/>
          <w:highlight w:val="none"/>
          <w:lang w:val="en-US" w:eastAsia="zh-CN"/>
        </w:rPr>
        <w:t>11255</w:t>
      </w:r>
      <w:r>
        <w:rPr>
          <w:rFonts w:hint="eastAsia" w:ascii="仿宋" w:hAnsi="仿宋" w:cs="仿宋"/>
          <w:color w:val="auto"/>
          <w:sz w:val="32"/>
          <w:szCs w:val="32"/>
          <w:highlight w:val="none"/>
          <w:lang w:eastAsia="zh-CN"/>
        </w:rPr>
        <w:t>”奋斗</w:t>
      </w:r>
      <w:r>
        <w:rPr>
          <w:rFonts w:hint="eastAsia" w:asciiTheme="minorEastAsia" w:hAnsiTheme="minorEastAsia" w:eastAsiaTheme="minorEastAsia" w:cstheme="minorEastAsia"/>
          <w:i w:val="0"/>
          <w:caps w:val="0"/>
          <w:color w:val="000000"/>
          <w:spacing w:val="0"/>
          <w:sz w:val="32"/>
          <w:szCs w:val="32"/>
          <w:lang w:eastAsia="zh-CN"/>
        </w:rPr>
        <w:t>目标，积极应对突发疫情带来的不利影响，攻坚克难，狠抓落实，加强</w:t>
      </w:r>
      <w:r>
        <w:rPr>
          <w:rFonts w:hint="eastAsia" w:asciiTheme="minorEastAsia" w:hAnsiTheme="minorEastAsia" w:eastAsiaTheme="minorEastAsia" w:cstheme="minorEastAsia"/>
          <w:i w:val="0"/>
          <w:caps w:val="0"/>
          <w:color w:val="000000"/>
          <w:spacing w:val="0"/>
          <w:sz w:val="32"/>
          <w:szCs w:val="32"/>
        </w:rPr>
        <w:t>税收征管</w:t>
      </w:r>
      <w:r>
        <w:rPr>
          <w:rFonts w:hint="eastAsia" w:asciiTheme="minorEastAsia" w:hAnsiTheme="minorEastAsia" w:eastAsiaTheme="minorEastAsia" w:cstheme="minorEastAsia"/>
          <w:i w:val="0"/>
          <w:caps w:val="0"/>
          <w:color w:val="000000"/>
          <w:spacing w:val="0"/>
          <w:sz w:val="32"/>
          <w:szCs w:val="32"/>
          <w:lang w:eastAsia="zh-CN"/>
        </w:rPr>
        <w:t>，</w:t>
      </w:r>
      <w:r>
        <w:rPr>
          <w:rFonts w:hint="eastAsia" w:asciiTheme="minorEastAsia" w:hAnsiTheme="minorEastAsia" w:eastAsiaTheme="minorEastAsia" w:cstheme="minorEastAsia"/>
          <w:i w:val="0"/>
          <w:caps w:val="0"/>
          <w:color w:val="000000"/>
          <w:spacing w:val="0"/>
          <w:sz w:val="32"/>
          <w:szCs w:val="32"/>
          <w:lang w:val="en-US" w:eastAsia="zh-CN"/>
        </w:rPr>
        <w:t>深入开展破难查漏</w:t>
      </w:r>
      <w:r>
        <w:rPr>
          <w:rFonts w:hint="eastAsia" w:asciiTheme="minorEastAsia" w:hAnsiTheme="minorEastAsia" w:eastAsiaTheme="minorEastAsia" w:cstheme="minorEastAsia"/>
          <w:i w:val="0"/>
          <w:caps w:val="0"/>
          <w:color w:val="000000"/>
          <w:spacing w:val="0"/>
          <w:sz w:val="32"/>
          <w:szCs w:val="32"/>
        </w:rPr>
        <w:t>，</w:t>
      </w:r>
      <w:r>
        <w:rPr>
          <w:rFonts w:hint="eastAsia" w:asciiTheme="minorEastAsia" w:hAnsiTheme="minorEastAsia" w:eastAsiaTheme="minorEastAsia" w:cstheme="minorEastAsia"/>
          <w:i w:val="0"/>
          <w:caps w:val="0"/>
          <w:color w:val="000000"/>
          <w:spacing w:val="0"/>
          <w:sz w:val="32"/>
          <w:szCs w:val="32"/>
          <w:lang w:val="en-US" w:eastAsia="zh-CN"/>
        </w:rPr>
        <w:t>加大税费清欠力度，促进</w:t>
      </w:r>
      <w:r>
        <w:rPr>
          <w:rFonts w:hint="eastAsia" w:asciiTheme="minorEastAsia" w:hAnsiTheme="minorEastAsia" w:eastAsiaTheme="minorEastAsia" w:cstheme="minorEastAsia"/>
          <w:i w:val="0"/>
          <w:caps w:val="0"/>
          <w:color w:val="000000"/>
          <w:spacing w:val="0"/>
          <w:sz w:val="32"/>
          <w:szCs w:val="32"/>
        </w:rPr>
        <w:t>收入增加。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有关具体收入项目说明如下：</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1.增值税。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增值税收入13.76亿元，完成预算的83.39%，下降10.30%。主要是</w:t>
      </w:r>
      <w:r>
        <w:rPr>
          <w:rFonts w:hint="eastAsia" w:asciiTheme="minorEastAsia" w:hAnsiTheme="minorEastAsia" w:cstheme="minorEastAsia"/>
          <w:i w:val="0"/>
          <w:caps w:val="0"/>
          <w:color w:val="000000"/>
          <w:spacing w:val="0"/>
          <w:sz w:val="32"/>
          <w:szCs w:val="32"/>
          <w:lang w:eastAsia="zh-CN"/>
        </w:rPr>
        <w:t>受新冠疫情影响企业生产以及</w:t>
      </w:r>
      <w:r>
        <w:rPr>
          <w:rFonts w:hint="eastAsia" w:asciiTheme="minorEastAsia" w:hAnsiTheme="minorEastAsia" w:eastAsiaTheme="minorEastAsia" w:cstheme="minorEastAsia"/>
          <w:i w:val="0"/>
          <w:caps w:val="0"/>
          <w:color w:val="000000"/>
          <w:spacing w:val="0"/>
          <w:sz w:val="32"/>
          <w:szCs w:val="32"/>
        </w:rPr>
        <w:t>3-9月煤炭价格低迷，税收收入大幅减少。</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2.企业所得税。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企业所得税收入3.73亿元，完成预算的90.96%，下降5.11%。主要是</w:t>
      </w:r>
      <w:r>
        <w:rPr>
          <w:rFonts w:hint="eastAsia" w:asciiTheme="minorEastAsia" w:hAnsiTheme="minorEastAsia" w:cstheme="minorEastAsia"/>
          <w:i w:val="0"/>
          <w:caps w:val="0"/>
          <w:color w:val="000000"/>
          <w:spacing w:val="0"/>
          <w:sz w:val="32"/>
          <w:szCs w:val="32"/>
          <w:lang w:eastAsia="zh-CN"/>
        </w:rPr>
        <w:t>受新冠疫情影响企业生产以及</w:t>
      </w:r>
      <w:r>
        <w:rPr>
          <w:rFonts w:hint="eastAsia" w:asciiTheme="minorEastAsia" w:hAnsiTheme="minorEastAsia" w:eastAsiaTheme="minorEastAsia" w:cstheme="minorEastAsia"/>
          <w:i w:val="0"/>
          <w:caps w:val="0"/>
          <w:color w:val="000000"/>
          <w:spacing w:val="0"/>
          <w:sz w:val="32"/>
          <w:szCs w:val="32"/>
        </w:rPr>
        <w:t>3-9月煤炭价格低迷，企业利润大幅下滑。</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3.个人所得税。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个人所得税收入1.07亿元，完成预算的153.31%，增长71.03%。主要是煤矿股东股权转让引起个人所得税增加。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4.资源税。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资源税收入15.92亿元，完成预算的95.63%，增长10.42%。主要是资源税税率由9%调整为10%，在3-9月煤价低迷情况下，煤炭产量大幅增加拉动增收。</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5.城市维护建设税。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城市维护建设税收入0.85亿元，完成预算的94.43%，增长1.24%。</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6.房产税。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房产税收入0.80亿元，完成预算的53.48%，下降35.30%。主要是疫情期间房产税减免政策影响造成减收。</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7.印花税：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印花税完成1.32亿元，完成预算的105.71%，增长9.71%。主要是2020年全区总产值稳定增长。</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8.城镇土地使用税。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城镇土地使用税收入0.79亿元，完成预算的87.59%，增长2.74%。主要是疫情期间城镇土地使用税减免政策影响造成增长空间大幅压缩。</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9.土地增值税。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土地增值税收入1.76亿元，完成预算的196.07%，增长97.38%。主要是全市房地产市场活跃，成交量和价格上涨，应税额增加。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10.车船使用税：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车船使用税收入1.19亿元，完成预算的94.92%，与2019年基本持平。原因是全区各类机动车保有量已达饱和状态，收入保持稳定。</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11.耕地占用税。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耕地占用税收入5.08亿元，完成预算的145.02%，增长36.08%。主要是加强对煤矿采空区、塌陷区耕地占用税的征收，税收收入增加。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12.契税。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契税收入1.78亿元，完成预算的142.42%，增长49.72%。主要是房屋交易量大幅增加。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13.环保税：</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环保税收入0.24亿元，完成预算的39.53%，下降41.86%。主要是费改税后，各纳税单位安装专业计量设备进行纳税申报以及环保管控刚性、污染物排放下降。</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14.专项收入。</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专项收入完成7.38亿元，完成预算的153.71%，增长95.08%。主要是森林植被恢复费一次性收入增加。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15.行政事业性收费收入。</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行政事业性收费收入完成2.97亿元，完成预算的84.79%，增长116.13%。增长主要原因是收回部分历年欠的水土保持补偿费和耕地开垦费增加。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16.罚没收入。</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罚没收入完成0.56亿元，增长8.69%。主要是区能源局、国土榆阳分局罚没收入增加。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17.国有资源有偿使用收入。</w:t>
      </w:r>
      <w:r>
        <w:rPr>
          <w:rFonts w:hint="eastAsia" w:asciiTheme="minorEastAsia" w:hAnsiTheme="minorEastAsia" w:cstheme="minorEastAsia"/>
          <w:i w:val="0"/>
          <w:caps w:val="0"/>
          <w:color w:val="000000"/>
          <w:spacing w:val="0"/>
          <w:sz w:val="32"/>
          <w:szCs w:val="32"/>
          <w:lang w:val="en-US" w:eastAsia="zh-CN"/>
        </w:rPr>
        <w:t>2020年，全区</w:t>
      </w:r>
      <w:r>
        <w:rPr>
          <w:rFonts w:hint="eastAsia" w:asciiTheme="minorEastAsia" w:hAnsiTheme="minorEastAsia" w:eastAsiaTheme="minorEastAsia" w:cstheme="minorEastAsia"/>
          <w:i w:val="0"/>
          <w:caps w:val="0"/>
          <w:color w:val="000000"/>
          <w:spacing w:val="0"/>
          <w:sz w:val="32"/>
          <w:szCs w:val="32"/>
        </w:rPr>
        <w:t>国有资源有偿使用收入1.10亿元，完成预算的157.20%，增长68.72%。主要是国土榆阳分局收取的探矿权、采矿权出让收益，属一次性收入。</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二、支出预算执行情况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2020年，</w:t>
      </w:r>
      <w:r>
        <w:rPr>
          <w:rFonts w:hint="eastAsia" w:asciiTheme="minorEastAsia" w:hAnsiTheme="minorEastAsia" w:cstheme="minorEastAsia"/>
          <w:i w:val="0"/>
          <w:caps w:val="0"/>
          <w:color w:val="000000"/>
          <w:spacing w:val="0"/>
          <w:sz w:val="32"/>
          <w:szCs w:val="32"/>
          <w:lang w:eastAsia="zh-CN"/>
        </w:rPr>
        <w:t>全区</w:t>
      </w:r>
      <w:r>
        <w:rPr>
          <w:rFonts w:hint="eastAsia" w:asciiTheme="minorEastAsia" w:hAnsiTheme="minorEastAsia" w:eastAsiaTheme="minorEastAsia" w:cstheme="minorEastAsia"/>
          <w:i w:val="0"/>
          <w:caps w:val="0"/>
          <w:color w:val="000000"/>
          <w:spacing w:val="0"/>
          <w:sz w:val="32"/>
          <w:szCs w:val="32"/>
        </w:rPr>
        <w:t>一般公共预算支出82.65亿元，占调整预算93%，增长 7.81% 。有关支出项目说明如下：</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1.一般公共服务支出。2020年，一般公共服务支出13.76亿元，增长30.23%，增长主要原因是榆阳区高新区基础设施建设项目等支出增加。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2.教育支出。2020年，教育支出完成24.18亿元，增长0.27%，主要是新增了校建工程建设、校园改厕和锅炉煤改气等项目资金。</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3.社会保障和就业支出。2020年，社会保障和就业支出5.25亿元，增长19.92%。主要是公益性岗位协管员增加、农村幸福院补助资金和各类社保民生支出增加。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4.文化体育与传媒支出。2020年，文化体育与传媒支出1.53亿元，增长10.26%。主要是黄土地质公园和野生动物园建设项目投入增加。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5.医疗卫生与计划生育支出。2020年医疗卫生支出6.04亿元，下降2.29%。主要是榆林市星元医院改扩建项目专项债安排列入基金预算和部分资金以非税资金安排。</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6.节能环保支出。2020年，节能环保支出1.57亿元，增长70.96%。增长原因主要是散煤治理补助资金的增加。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7.农林水事务支出。2020年，农林水支出15.37亿元，增长1.94%。主要是加大了3+2+X产业投入及脱贫攻坚水利设施、林业生态建设等投入。</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8.交通运输支出。2020年，交通运输支出1.47亿元，下降38.73%。主要是上级补助道路基础设施建设投入减少。</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9.资源勘探信息等支出。2020年，资源勘探信息等支出1.04亿元，增长1.9%。增长主要原因是上级专项转移支付增加。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10.自然资源海洋气象支出。2020年，自然资源海洋气象支出1.77亿元，增长84.44%，增长的主要原因是增加了土地储备、土地整治、调查经费等。</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11.债务付息支出。2020年债务付息支出0.54亿元，下降2.15%。主要是一般债券余额减少，相应2020年需支付的利息也减少。</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12.其他支出。2020年其他支出0.3亿元，下降21.93%，主要原因是项目支出细化。</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说明2</w:t>
      </w:r>
    </w:p>
    <w:p>
      <w:pPr>
        <w:pStyle w:val="2"/>
        <w:keepNext w:val="0"/>
        <w:keepLines w:val="0"/>
        <w:widowControl/>
        <w:suppressLineNumbers w:val="0"/>
        <w:spacing w:before="75" w:beforeAutospacing="0" w:after="75" w:afterAutospacing="0"/>
        <w:ind w:left="0" w:right="0" w:firstLine="420"/>
        <w:jc w:val="center"/>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关于2021年一般公共预算安排情况的说明</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一、收入预算安排情况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2020年，地方一般公共预算收入完成60.3亿元，2021年，按7.79%增长，收入预计65亿元。</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有关收入项目具体说明如下：</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1.增值税：2021年预计完成166000万元，同比增收28410万元，增长20.65%。增收因素为全年预计我区原煤产销量会突破1.25亿吨，不含税煤价基本维持在380元/吨的相对高位。</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2.企业所得税：2021年预计完成45000万元，同比增收7706万元，增长20.66%。依据是煤炭及相关产业产能及销量增加，在价格保持平稳的情况下，净利润率增长。</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3.个人所得税：2021年预计完成10000万元，同比减收732万元，降幅6.82%。依据是个税改革已基本完成，剔除2020年股转增收影响，整体保持稳定。</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4.资源税：2021年预计完成190500万元，同比增收31279万元，增长19.65%。依据是煤炭产销量增加，价格基本稳定，税率从9%提高到10%；涉煤企业、房地产企业水资源税征管力度会进一步加大。</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5.城市建设维护税：2020年预计完成11500万元，同比增收3001万元，增长35.31%，附加税，随增值税的增加而增加。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6.房产税：2021年预计完成8000万元，与2020年基本持平。受减税降费翘尾影响，增长幅度有限。</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7.印花税：2021年预计完成13000万元，与2020年基本持平。依据是预计2021年全区总产值将保持稳定增长。</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8.城镇土地使用税：2021年预计完成10000万元，同比增收2117万元，增长26.86%。依据是随着城镇土地使用税征管范围改革及征管方式变化，我区城镇土地使用税具备一定的增收潜力。</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9.土地增值税：2021年预计完成18000万元，与2020年基本持平。依据是预计房地产交易量保持稳定。</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10.车船使用税：2021年预计完成12000万元，与2020年基本持平。依据是全区各类机动车保有量已达饱和状态，该税随交强险征收，收入稳定有保障。</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11.耕地占用税：2021年预计完成25000万元，同比减收25756万元，减幅50.74%。依据是该税为一次性税款，征收对象为煤矿塌陷区，新增税收具有不确定性。</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12.契税：2021年预计完成18000万元，与2020年基本持平。依据是明年9月开始新税法税率有所调高，税源取决于房产交易状况，预估保持稳定。</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13.环保税：2021年预计完成3000万元，同比增收628万元，增幅26.48%。依据是环保管控刚性，污染物排放下降。</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14.非税收入：2021年预计完成12亿元，与2020年基本持平。依据是考虑税务部门的征管压力及当前经济形势，加强非税征管力度，做到应收尽收。</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二、支出预算安排情况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2021年，全区财政支出98.97亿元，其中：区级财</w:t>
      </w:r>
      <w:bookmarkStart w:id="0" w:name="_GoBack"/>
      <w:bookmarkEnd w:id="0"/>
      <w:r>
        <w:rPr>
          <w:rFonts w:hint="eastAsia" w:asciiTheme="minorEastAsia" w:hAnsiTheme="minorEastAsia" w:eastAsiaTheme="minorEastAsia" w:cstheme="minorEastAsia"/>
          <w:i w:val="0"/>
          <w:caps w:val="0"/>
          <w:color w:val="000000"/>
          <w:spacing w:val="0"/>
          <w:sz w:val="32"/>
          <w:szCs w:val="32"/>
        </w:rPr>
        <w:t>政支出91.22亿元，增长10.4%；上解支出6.2亿元,调出资金1.65亿元。</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按照</w:t>
      </w:r>
      <w:r>
        <w:rPr>
          <w:rFonts w:hint="eastAsia" w:asciiTheme="minorEastAsia" w:hAnsiTheme="minorEastAsia" w:cstheme="minorEastAsia"/>
          <w:i w:val="0"/>
          <w:caps w:val="0"/>
          <w:color w:val="000000"/>
          <w:spacing w:val="0"/>
          <w:sz w:val="32"/>
          <w:szCs w:val="32"/>
          <w:lang w:eastAsia="zh-CN"/>
        </w:rPr>
        <w:t>《</w:t>
      </w:r>
      <w:r>
        <w:rPr>
          <w:rFonts w:hint="eastAsia" w:asciiTheme="minorEastAsia" w:hAnsiTheme="minorEastAsia" w:eastAsiaTheme="minorEastAsia" w:cstheme="minorEastAsia"/>
          <w:i w:val="0"/>
          <w:caps w:val="0"/>
          <w:color w:val="000000"/>
          <w:spacing w:val="0"/>
          <w:sz w:val="32"/>
          <w:szCs w:val="32"/>
        </w:rPr>
        <w:t>预算法</w:t>
      </w:r>
      <w:r>
        <w:rPr>
          <w:rFonts w:hint="eastAsia" w:asciiTheme="minorEastAsia" w:hAnsiTheme="minorEastAsia" w:cstheme="minorEastAsia"/>
          <w:i w:val="0"/>
          <w:caps w:val="0"/>
          <w:color w:val="000000"/>
          <w:spacing w:val="0"/>
          <w:sz w:val="32"/>
          <w:szCs w:val="32"/>
          <w:lang w:eastAsia="zh-CN"/>
        </w:rPr>
        <w:t>》</w:t>
      </w:r>
      <w:r>
        <w:rPr>
          <w:rFonts w:hint="eastAsia" w:asciiTheme="minorEastAsia" w:hAnsiTheme="minorEastAsia" w:eastAsiaTheme="minorEastAsia" w:cstheme="minorEastAsia"/>
          <w:i w:val="0"/>
          <w:caps w:val="0"/>
          <w:color w:val="000000"/>
          <w:spacing w:val="0"/>
          <w:sz w:val="32"/>
          <w:szCs w:val="32"/>
        </w:rPr>
        <w:t>和中省有关规定，2021年编报6张报表反映区级可安排支出预算安排情况。具体是：（一）2021年 一般公共预算收入预算表，反映2021年收入预算总貌；（二）2021年一般公共预算支出预算总表，反映2021年支出预算总貌；（三）2021年一般公共预算支出预算表，将支出按支出功能科目编列到项级，反映各项支出的具体内容和方向；（四）2021年一般公共预算支出经济分类表，将支出预算按支出经济分类科目编列，反映各项支出的经济性质和具体用途；（五）2021年一般公共预算基本支出表，反映一般公共预算基本支出情况；（六）2021年一般公共预算上级补助预算表，反映市对区税收返还、一般性转移支付和专项转移支付预算总体安排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主要支出项目说明如下：</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1.一般公共服务支出。一般公共服务支出预算14.19亿元，增长3.1%。增长主要原因是落实机关事业单位调资、年终目标责任考核奖励及部门新增项目等支出增加。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2．公共安全支出。公共安全支出预算1.33亿元，增长6.3％。主要是公检法司专项经费增加。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3．教育支出。教育支出24.4亿元，增长0.9%，主要是增加城乡校建基础设施建设资金。</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4.文化旅游体育与传媒支出。文化旅游体育与传媒支出预算2.14亿元，增长39.8%，主要是黄土地质公园、榆林野生动物园等特色文旅项目建设。</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5.社会保障和就业支出。社会保障和就业支出预算5.87亿元，增长11.6％。主要是公益性岗位协管员增加、农村幸福院补助资金和各类社保民生支出增加。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6.卫生健康支出。卫生健康支出预算6.12亿元，增长1.3％。主要是增加公立医院和乡镇卫生院购买设备和基础设施费用增加。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7．节能环保支出。支能环保支出预算2.08亿元，增长32%。主要是增加环保治理专项经费。</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8.城乡社区支出。城乡社区支出预算8.66亿元，增长38.7%。主要是榆阳区高新区基础设施建设资金增加。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9.农林水支出。农林水支出预算16.98亿元，增长10.4%。主要是加大了3+2+X产业投入及脱贫攻坚水利设施、林业生态建设等投入。</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10．交通运输支出。交通运输支出预算1.62亿元，增长9.7％。主要是增加交通道路建设资金。</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11．资源勘探信息等支出。资源勘探信息等支出预算1.05亿元，增长0.8％。主要是预计上级补助收入和支持民营经济发展资金增加。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12．商业服务业等支出。商业服务业等支出预算0.24亿元，增长79.7％。主要是部门项目支出增加。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13．住房保障支出。 住房保障支出预算0.85亿元，增长13.7%，主要是预计老旧小区改造上级补助增加。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14.灾害防治及应急管理支出。灾害防治及应急管理支出预算0.59亿元，增加51.6%。主要是加大对灾害防治、应急管理的投入力度。</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15.债务付息支出。债务付息支出0.6亿元，增长11.5%。</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三、支出预算经济分类科目说明</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2021年支出预算共计91.22亿元，按政府预算支出经济分类科目划分，相关情况是：</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1．机关工资福利支出5.12亿元，主要包括机关和参公事业单位在职职工的工资奖金津补贴、社会保障缴费及住房公积金补助等。</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2．机关商品和服务支出4.17亿元，主要包括机关和参公事业单位办公经费、会议费、培训费、专用材料购置费、委托业务费、“三公经费”、维修费等。</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3．对事业单位经常性补助34.93亿元，主要包括区属事业单位在职职工的工资奖金、社会保障缴费及住房公积金补助以及办公费、会议费、培训费、购置费、维修费等。</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4.对事业单位资本性补助32.86亿元，主要包括教育、农林水牧等行业所属单位资本性支出补助。</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5.对企业补助支出1.24亿元，主要是农业部门对企业种粮补贴和农机具购置补贴等。</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6.对企业资本性支出1.51亿元。</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7.对个人和家庭的补助8.09亿元，主要包括对社会相关群体的社保福利和救助支出、各类学生助学金、个人生产补贴、优抚安置补助等。</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8.对社会保险基金补助1.12亿元，主要是中省对企业及机关事业单位养老保险基金的补助。</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9.债务利息及费用支出0.61亿元，主要是地方政府债务付息及发行费用支出。</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10.预备费及预留1亿元，是按照《预算法》要求，在一般公共预算中，按照支出额的1％至3％设置预备费0.6亿元，用于当年预算执行中的自然灾害等突发事件处理增加的支出及其他难以预见的开支。</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11．其他支出0.57亿元，主要是部分专项资金年初尚未明确到具体使用单位，暂列此料目。执行中根据具体用途再分解列示到相关科目。</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说明3</w:t>
      </w:r>
    </w:p>
    <w:p>
      <w:pPr>
        <w:pStyle w:val="2"/>
        <w:keepNext w:val="0"/>
        <w:keepLines w:val="0"/>
        <w:widowControl/>
        <w:suppressLineNumbers w:val="0"/>
        <w:spacing w:before="75" w:beforeAutospacing="0" w:after="75" w:afterAutospacing="0"/>
        <w:ind w:left="0" w:right="0" w:firstLine="420"/>
        <w:jc w:val="center"/>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关于2020年政府性基金预算执行情况的说明</w:t>
      </w:r>
    </w:p>
    <w:p>
      <w:pPr>
        <w:pStyle w:val="2"/>
        <w:keepNext w:val="0"/>
        <w:keepLines w:val="0"/>
        <w:widowControl/>
        <w:suppressLineNumbers w:val="0"/>
        <w:spacing w:before="75" w:beforeAutospacing="0" w:after="75" w:afterAutospacing="0"/>
        <w:ind w:right="0" w:firstLine="640" w:firstLineChars="20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政府性基金预算，是依照法律、行政法规的规定在一定期限内向特定对象征收、收取或者以其他方式取得的收入，专项用于特定公共事业发展的收支预算。政府性基金预算应当根据基金项目收入情况和实际支出需要，按基金项目编制，做到以收定支。</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2020年，政府性基金预算执行情况主要是：</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一、收入预算执行情况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2020年，政府性基金预算收入预计完成2.13亿元，完成年初预算的100%，较上年增长12.28%；上年结转0.14亿元，上级补助收入5.7亿元，调入资金0.01亿元，收入总计7.98亿元。政府性基金预算</w:t>
      </w:r>
      <w:r>
        <w:rPr>
          <w:rFonts w:hint="eastAsia" w:asciiTheme="minorEastAsia" w:hAnsiTheme="minorEastAsia" w:cstheme="minorEastAsia"/>
          <w:i w:val="0"/>
          <w:caps w:val="0"/>
          <w:color w:val="000000"/>
          <w:spacing w:val="0"/>
          <w:sz w:val="32"/>
          <w:szCs w:val="32"/>
          <w:lang w:eastAsia="zh-CN"/>
        </w:rPr>
        <w:t>收入</w:t>
      </w:r>
      <w:r>
        <w:rPr>
          <w:rFonts w:hint="eastAsia" w:asciiTheme="minorEastAsia" w:hAnsiTheme="minorEastAsia" w:eastAsiaTheme="minorEastAsia" w:cstheme="minorEastAsia"/>
          <w:i w:val="0"/>
          <w:caps w:val="0"/>
          <w:color w:val="000000"/>
          <w:spacing w:val="0"/>
          <w:sz w:val="32"/>
          <w:szCs w:val="32"/>
        </w:rPr>
        <w:t>具体情况是：</w:t>
      </w:r>
    </w:p>
    <w:p>
      <w:pPr>
        <w:pStyle w:val="2"/>
        <w:keepNext w:val="0"/>
        <w:keepLines w:val="0"/>
        <w:widowControl/>
        <w:suppressLineNumbers w:val="0"/>
        <w:spacing w:before="75" w:beforeAutospacing="0" w:after="75" w:afterAutospacing="0"/>
        <w:ind w:left="0" w:right="0" w:firstLine="420"/>
        <w:jc w:val="left"/>
        <w:rPr>
          <w:rFonts w:hint="default"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cstheme="minorEastAsia"/>
          <w:i w:val="0"/>
          <w:caps w:val="0"/>
          <w:color w:val="000000"/>
          <w:spacing w:val="0"/>
          <w:sz w:val="32"/>
          <w:szCs w:val="32"/>
          <w:lang w:val="en-US" w:eastAsia="zh-CN"/>
        </w:rPr>
        <w:t>1.国有土地使用权出让收入。国有土地使用权出让收入2.13亿元，较上年增长12.28%，主要是土地出让价款收入增加。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二、支出预算执行情况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2020年，政府性基金预算支出预计完成6.12亿元，结转下年支出0.1亿元，调出资金0.11亿元，专项债券还本支出1.65亿元。主要是债券资金。政府性基金预算支出具体情况是：</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1.社会保障和就业。社会保障和就业支出0.03亿元，与上年同期保持一致。</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2.债务付息及发行费支出。债务付息及发行费支出0.46亿元，较上年下降14.81%。主要是专项债券逐年偿还，债务规模不断减少，相应年度付息支出减少。</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3.债务还本支出。债务还本支出1.65亿元，偿还到期专项债券。</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4.城乡社区事务支出。城乡社区事务支出3.58亿元，主要是星元医院改扩建项目和职教中心迁建项目支出。</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5.抗疫特别国债安排的支出。抗疫特别国债安排的支出1.9亿元，主要是公共卫生体系建设和产业链改造升级及其他抗疫相关支出。</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6.其他支出。其他支出0.15亿元，较上年增长15.38%，主要是社会福利彩票公益金及对应专项债务收入安排的上级补助增加。</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说明4</w:t>
      </w:r>
    </w:p>
    <w:p>
      <w:pPr>
        <w:pStyle w:val="2"/>
        <w:keepNext w:val="0"/>
        <w:keepLines w:val="0"/>
        <w:widowControl/>
        <w:suppressLineNumbers w:val="0"/>
        <w:spacing w:before="75" w:beforeAutospacing="0" w:after="75" w:afterAutospacing="0"/>
        <w:ind w:left="0" w:right="0" w:firstLine="420"/>
        <w:jc w:val="center"/>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关于2021年政府性基金预算安排情况的说明</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一、收入预算安排情况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2021年，政府性基金收入预算安排2亿元，较上年增加300%。主要是国有土地使用权出让预期收入增加。预计上级补助收入0.2亿元，上年结转0.1亿元,调入资金1.65亿元,收入总计3.95亿元。</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二、支出预算安排情况</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2021年，基金预算支出3.95亿元，较上年增加24.6%。主要原因是债务还本付息支出增加。政府性基金预算支出具体情况是：</w:t>
      </w:r>
    </w:p>
    <w:p>
      <w:pPr>
        <w:pStyle w:val="2"/>
        <w:keepNext w:val="0"/>
        <w:keepLines w:val="0"/>
        <w:widowControl/>
        <w:numPr>
          <w:ilvl w:val="0"/>
          <w:numId w:val="1"/>
        </w:numPr>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社会保障和就业支出0.03亿元</w:t>
      </w:r>
      <w:r>
        <w:rPr>
          <w:rFonts w:hint="eastAsia" w:asciiTheme="minorEastAsia" w:hAnsiTheme="minorEastAsia" w:cstheme="minorEastAsia"/>
          <w:i w:val="0"/>
          <w:caps w:val="0"/>
          <w:color w:val="000000"/>
          <w:spacing w:val="0"/>
          <w:sz w:val="32"/>
          <w:szCs w:val="32"/>
          <w:lang w:eastAsia="zh-CN"/>
        </w:rPr>
        <w:t>，主要用于移民补助、基础设施建设和经济发展</w:t>
      </w:r>
      <w:r>
        <w:rPr>
          <w:rFonts w:hint="eastAsia" w:asciiTheme="minorEastAsia" w:hAnsiTheme="minorEastAsia" w:eastAsiaTheme="minorEastAsia" w:cstheme="minorEastAsia"/>
          <w:i w:val="0"/>
          <w:caps w:val="0"/>
          <w:color w:val="000000"/>
          <w:spacing w:val="0"/>
          <w:sz w:val="32"/>
          <w:szCs w:val="32"/>
        </w:rPr>
        <w:t>；</w:t>
      </w:r>
    </w:p>
    <w:p>
      <w:pPr>
        <w:pStyle w:val="2"/>
        <w:keepNext w:val="0"/>
        <w:keepLines w:val="0"/>
        <w:widowControl/>
        <w:numPr>
          <w:ilvl w:val="0"/>
          <w:numId w:val="1"/>
        </w:numPr>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城乡社区事务支出0.17亿元</w:t>
      </w:r>
      <w:r>
        <w:rPr>
          <w:rFonts w:hint="eastAsia" w:asciiTheme="minorEastAsia" w:hAnsiTheme="minorEastAsia" w:cstheme="minorEastAsia"/>
          <w:i w:val="0"/>
          <w:caps w:val="0"/>
          <w:color w:val="000000"/>
          <w:spacing w:val="0"/>
          <w:sz w:val="32"/>
          <w:szCs w:val="32"/>
          <w:lang w:eastAsia="zh-CN"/>
        </w:rPr>
        <w:t>，主要用于征地和拆迁补偿支出</w:t>
      </w:r>
      <w:r>
        <w:rPr>
          <w:rFonts w:hint="eastAsia" w:asciiTheme="minorEastAsia" w:hAnsiTheme="minorEastAsia" w:eastAsiaTheme="minorEastAsia" w:cstheme="minorEastAsia"/>
          <w:i w:val="0"/>
          <w:caps w:val="0"/>
          <w:color w:val="000000"/>
          <w:spacing w:val="0"/>
          <w:sz w:val="32"/>
          <w:szCs w:val="32"/>
        </w:rPr>
        <w:t>；</w:t>
      </w:r>
    </w:p>
    <w:p>
      <w:pPr>
        <w:pStyle w:val="2"/>
        <w:keepNext w:val="0"/>
        <w:keepLines w:val="0"/>
        <w:widowControl/>
        <w:numPr>
          <w:ilvl w:val="0"/>
          <w:numId w:val="1"/>
        </w:numPr>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债务付息支出0.51亿元，</w:t>
      </w:r>
      <w:r>
        <w:rPr>
          <w:rFonts w:hint="eastAsia" w:asciiTheme="minorEastAsia" w:hAnsiTheme="minorEastAsia" w:cstheme="minorEastAsia"/>
          <w:i w:val="0"/>
          <w:caps w:val="0"/>
          <w:color w:val="000000"/>
          <w:spacing w:val="0"/>
          <w:sz w:val="32"/>
          <w:szCs w:val="32"/>
          <w:lang w:eastAsia="zh-CN"/>
        </w:rPr>
        <w:t>主要用于其他政府性基金债务付息支出；</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cstheme="minorEastAsia"/>
          <w:i w:val="0"/>
          <w:caps w:val="0"/>
          <w:color w:val="000000"/>
          <w:spacing w:val="0"/>
          <w:sz w:val="32"/>
          <w:szCs w:val="32"/>
          <w:lang w:val="en-US" w:eastAsia="zh-CN"/>
        </w:rPr>
        <w:t>4</w:t>
      </w:r>
      <w:r>
        <w:rPr>
          <w:rFonts w:hint="eastAsia" w:asciiTheme="minorEastAsia" w:hAnsiTheme="minorEastAsia" w:eastAsiaTheme="minorEastAsia" w:cstheme="minorEastAsia"/>
          <w:i w:val="0"/>
          <w:caps w:val="0"/>
          <w:color w:val="000000"/>
          <w:spacing w:val="0"/>
          <w:sz w:val="32"/>
          <w:szCs w:val="32"/>
        </w:rPr>
        <w:t>.其他支出0.1亿元</w:t>
      </w:r>
      <w:r>
        <w:rPr>
          <w:rFonts w:hint="eastAsia" w:asciiTheme="minorEastAsia" w:hAnsiTheme="minorEastAsia" w:cstheme="minorEastAsia"/>
          <w:i w:val="0"/>
          <w:caps w:val="0"/>
          <w:color w:val="000000"/>
          <w:spacing w:val="0"/>
          <w:sz w:val="32"/>
          <w:szCs w:val="32"/>
          <w:lang w:eastAsia="zh-CN"/>
        </w:rPr>
        <w:t>，主要用于社会福利的彩票公益金支出</w:t>
      </w:r>
      <w:r>
        <w:rPr>
          <w:rFonts w:hint="eastAsia" w:asciiTheme="minorEastAsia" w:hAnsiTheme="minorEastAsia" w:eastAsiaTheme="minorEastAsia" w:cstheme="minorEastAsia"/>
          <w:i w:val="0"/>
          <w:caps w:val="0"/>
          <w:color w:val="000000"/>
          <w:spacing w:val="0"/>
          <w:sz w:val="32"/>
          <w:szCs w:val="32"/>
        </w:rPr>
        <w:t>；</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cstheme="minorEastAsia"/>
          <w:i w:val="0"/>
          <w:caps w:val="0"/>
          <w:color w:val="000000"/>
          <w:spacing w:val="0"/>
          <w:sz w:val="32"/>
          <w:szCs w:val="32"/>
          <w:lang w:val="en-US" w:eastAsia="zh-CN"/>
        </w:rPr>
        <w:t>5.</w:t>
      </w:r>
      <w:r>
        <w:rPr>
          <w:rFonts w:hint="eastAsia" w:asciiTheme="minorEastAsia" w:hAnsiTheme="minorEastAsia" w:eastAsiaTheme="minorEastAsia" w:cstheme="minorEastAsia"/>
          <w:i w:val="0"/>
          <w:caps w:val="0"/>
          <w:color w:val="000000"/>
          <w:spacing w:val="0"/>
          <w:sz w:val="32"/>
          <w:szCs w:val="32"/>
        </w:rPr>
        <w:t>债务还本支出3.13亿元</w:t>
      </w:r>
      <w:r>
        <w:rPr>
          <w:rFonts w:hint="eastAsia" w:asciiTheme="minorEastAsia" w:hAnsiTheme="minorEastAsia" w:cstheme="minorEastAsia"/>
          <w:i w:val="0"/>
          <w:caps w:val="0"/>
          <w:color w:val="000000"/>
          <w:spacing w:val="0"/>
          <w:sz w:val="32"/>
          <w:szCs w:val="32"/>
          <w:lang w:eastAsia="zh-CN"/>
        </w:rPr>
        <w:t>，主要用于债务支出</w:t>
      </w:r>
      <w:r>
        <w:rPr>
          <w:rFonts w:hint="eastAsia" w:asciiTheme="minorEastAsia" w:hAnsiTheme="minorEastAsia" w:eastAsiaTheme="minorEastAsia" w:cstheme="minorEastAsia"/>
          <w:i w:val="0"/>
          <w:caps w:val="0"/>
          <w:color w:val="000000"/>
          <w:spacing w:val="0"/>
          <w:sz w:val="32"/>
          <w:szCs w:val="32"/>
        </w:rPr>
        <w:t>；</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说明5</w:t>
      </w:r>
    </w:p>
    <w:p>
      <w:pPr>
        <w:pStyle w:val="2"/>
        <w:keepNext w:val="0"/>
        <w:keepLines w:val="0"/>
        <w:widowControl/>
        <w:suppressLineNumbers w:val="0"/>
        <w:spacing w:before="75" w:beforeAutospacing="0" w:after="75" w:afterAutospacing="0"/>
        <w:ind w:left="0" w:right="0" w:firstLine="420"/>
        <w:jc w:val="center"/>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关于2020年国有资本经营预算执行情况的说明</w:t>
      </w:r>
    </w:p>
    <w:p>
      <w:pPr>
        <w:spacing w:line="620" w:lineRule="exact"/>
        <w:ind w:firstLine="640" w:firstLineChars="200"/>
        <w:rPr>
          <w:rFonts w:ascii="仿宋_GB2312" w:eastAsia="仿宋_GB2312"/>
          <w:sz w:val="32"/>
          <w:szCs w:val="32"/>
        </w:rPr>
      </w:pPr>
      <w:r>
        <w:rPr>
          <w:rFonts w:hint="eastAsia" w:asciiTheme="minorEastAsia" w:hAnsiTheme="minorEastAsia" w:eastAsiaTheme="minorEastAsia" w:cstheme="minorEastAsia"/>
          <w:i w:val="0"/>
          <w:caps w:val="0"/>
          <w:color w:val="000000"/>
          <w:spacing w:val="0"/>
          <w:sz w:val="32"/>
          <w:szCs w:val="32"/>
        </w:rPr>
        <w:t>国有资本经营预算，是对国有资本经营收益作出支出安排的收支预算。国有资本经营预算按照收支平衡的原则编制，并安排</w:t>
      </w:r>
      <w:r>
        <w:rPr>
          <w:rFonts w:hint="eastAsia" w:asciiTheme="minorEastAsia" w:hAnsiTheme="minorEastAsia" w:eastAsiaTheme="minorEastAsia" w:cstheme="minorEastAsia"/>
          <w:i w:val="0"/>
          <w:caps w:val="0"/>
          <w:color w:val="000000"/>
          <w:spacing w:val="0"/>
          <w:sz w:val="32"/>
          <w:szCs w:val="32"/>
          <w:lang w:eastAsia="zh-CN"/>
        </w:rPr>
        <w:t>一定比例</w:t>
      </w:r>
      <w:r>
        <w:rPr>
          <w:rFonts w:hint="eastAsia" w:asciiTheme="minorEastAsia" w:hAnsiTheme="minorEastAsia" w:eastAsiaTheme="minorEastAsia" w:cstheme="minorEastAsia"/>
          <w:i w:val="0"/>
          <w:caps w:val="0"/>
          <w:color w:val="000000"/>
          <w:spacing w:val="0"/>
          <w:sz w:val="32"/>
          <w:szCs w:val="32"/>
        </w:rPr>
        <w:t>资金调入一般公共预算。</w:t>
      </w:r>
      <w:r>
        <w:rPr>
          <w:rFonts w:hint="eastAsia" w:ascii="仿宋_GB2312" w:eastAsia="仿宋_GB2312"/>
          <w:sz w:val="32"/>
          <w:szCs w:val="32"/>
        </w:rPr>
        <w:t>有关支出项目安排说明如下：</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cstheme="minorEastAsia"/>
          <w:i w:val="0"/>
          <w:caps w:val="0"/>
          <w:color w:val="000000"/>
          <w:spacing w:val="0"/>
          <w:sz w:val="32"/>
          <w:szCs w:val="32"/>
          <w:lang w:eastAsia="zh-CN"/>
        </w:rPr>
        <w:t>一、</w:t>
      </w:r>
      <w:r>
        <w:rPr>
          <w:rFonts w:hint="eastAsia" w:asciiTheme="minorEastAsia" w:hAnsiTheme="minorEastAsia" w:eastAsiaTheme="minorEastAsia" w:cstheme="minorEastAsia"/>
          <w:i w:val="0"/>
          <w:caps w:val="0"/>
          <w:color w:val="000000"/>
          <w:spacing w:val="0"/>
          <w:sz w:val="32"/>
          <w:szCs w:val="32"/>
        </w:rPr>
        <w:t>2020年，国有资本经营收入</w:t>
      </w:r>
      <w:r>
        <w:rPr>
          <w:rFonts w:hint="eastAsia" w:asciiTheme="minorEastAsia" w:hAnsiTheme="minorEastAsia" w:cstheme="minorEastAsia"/>
          <w:i w:val="0"/>
          <w:caps w:val="0"/>
          <w:color w:val="000000"/>
          <w:spacing w:val="0"/>
          <w:sz w:val="32"/>
          <w:szCs w:val="32"/>
          <w:lang w:eastAsia="zh-CN"/>
        </w:rPr>
        <w:t>完</w:t>
      </w:r>
      <w:r>
        <w:rPr>
          <w:rFonts w:hint="eastAsia" w:asciiTheme="minorEastAsia" w:hAnsiTheme="minorEastAsia" w:eastAsiaTheme="minorEastAsia" w:cstheme="minorEastAsia"/>
          <w:i w:val="0"/>
          <w:caps w:val="0"/>
          <w:color w:val="000000"/>
          <w:spacing w:val="0"/>
          <w:sz w:val="32"/>
          <w:szCs w:val="32"/>
        </w:rPr>
        <w:t>成1.18亿元，</w:t>
      </w:r>
      <w:r>
        <w:rPr>
          <w:rFonts w:hint="eastAsia" w:asciiTheme="minorEastAsia" w:hAnsiTheme="minorEastAsia" w:cstheme="minorEastAsia"/>
          <w:i w:val="0"/>
          <w:caps w:val="0"/>
          <w:color w:val="000000"/>
          <w:spacing w:val="0"/>
          <w:sz w:val="32"/>
          <w:szCs w:val="32"/>
          <w:lang w:eastAsia="zh-CN"/>
        </w:rPr>
        <w:t>较上年增长</w:t>
      </w:r>
      <w:r>
        <w:rPr>
          <w:rFonts w:hint="eastAsia" w:asciiTheme="minorEastAsia" w:hAnsiTheme="minorEastAsia" w:cstheme="minorEastAsia"/>
          <w:i w:val="0"/>
          <w:caps w:val="0"/>
          <w:color w:val="000000"/>
          <w:spacing w:val="0"/>
          <w:sz w:val="32"/>
          <w:szCs w:val="32"/>
          <w:lang w:val="en-US" w:eastAsia="zh-CN"/>
        </w:rPr>
        <w:t>105.56%，</w:t>
      </w:r>
      <w:r>
        <w:rPr>
          <w:rFonts w:hint="eastAsia" w:asciiTheme="minorEastAsia" w:hAnsiTheme="minorEastAsia" w:eastAsiaTheme="minorEastAsia" w:cstheme="minorEastAsia"/>
          <w:i w:val="0"/>
          <w:caps w:val="0"/>
          <w:color w:val="000000"/>
          <w:spacing w:val="0"/>
          <w:sz w:val="32"/>
          <w:szCs w:val="32"/>
        </w:rPr>
        <w:t>全部</w:t>
      </w:r>
      <w:r>
        <w:rPr>
          <w:rFonts w:hint="eastAsia" w:asciiTheme="minorEastAsia" w:hAnsiTheme="minorEastAsia" w:cstheme="minorEastAsia"/>
          <w:i w:val="0"/>
          <w:caps w:val="0"/>
          <w:color w:val="000000"/>
          <w:spacing w:val="0"/>
          <w:sz w:val="32"/>
          <w:szCs w:val="32"/>
          <w:lang w:eastAsia="zh-CN"/>
        </w:rPr>
        <w:t>是国有企业投资收益的增加</w:t>
      </w:r>
      <w:r>
        <w:rPr>
          <w:rFonts w:hint="eastAsia" w:asciiTheme="minorEastAsia" w:hAnsiTheme="minorEastAsia" w:eastAsiaTheme="minorEastAsia" w:cstheme="minorEastAsia"/>
          <w:i w:val="0"/>
          <w:caps w:val="0"/>
          <w:color w:val="000000"/>
          <w:spacing w:val="0"/>
          <w:sz w:val="32"/>
          <w:szCs w:val="32"/>
        </w:rPr>
        <w:t>。</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cstheme="minorEastAsia"/>
          <w:i w:val="0"/>
          <w:caps w:val="0"/>
          <w:color w:val="000000"/>
          <w:spacing w:val="0"/>
          <w:sz w:val="32"/>
          <w:szCs w:val="32"/>
          <w:lang w:eastAsia="zh-CN"/>
        </w:rPr>
        <w:t>二、</w:t>
      </w:r>
      <w:r>
        <w:rPr>
          <w:rFonts w:hint="eastAsia" w:asciiTheme="minorEastAsia" w:hAnsiTheme="minorEastAsia" w:eastAsiaTheme="minorEastAsia" w:cstheme="minorEastAsia"/>
          <w:i w:val="0"/>
          <w:caps w:val="0"/>
          <w:color w:val="000000"/>
          <w:spacing w:val="0"/>
          <w:sz w:val="32"/>
          <w:szCs w:val="32"/>
        </w:rPr>
        <w:t>2020年，国有资本经营支出</w:t>
      </w:r>
      <w:r>
        <w:rPr>
          <w:rFonts w:hint="eastAsia" w:asciiTheme="minorEastAsia" w:hAnsiTheme="minorEastAsia" w:cstheme="minorEastAsia"/>
          <w:i w:val="0"/>
          <w:caps w:val="0"/>
          <w:color w:val="000000"/>
          <w:spacing w:val="0"/>
          <w:sz w:val="32"/>
          <w:szCs w:val="32"/>
          <w:lang w:eastAsia="zh-CN"/>
        </w:rPr>
        <w:t>完成</w:t>
      </w:r>
      <w:r>
        <w:rPr>
          <w:rFonts w:hint="eastAsia" w:asciiTheme="minorEastAsia" w:hAnsiTheme="minorEastAsia" w:eastAsiaTheme="minorEastAsia" w:cstheme="minorEastAsia"/>
          <w:i w:val="0"/>
          <w:caps w:val="0"/>
          <w:color w:val="000000"/>
          <w:spacing w:val="0"/>
          <w:sz w:val="32"/>
          <w:szCs w:val="32"/>
        </w:rPr>
        <w:t>1.18亿元，</w:t>
      </w:r>
      <w:r>
        <w:rPr>
          <w:rFonts w:hint="eastAsia" w:asciiTheme="minorEastAsia" w:hAnsiTheme="minorEastAsia" w:cstheme="minorEastAsia"/>
          <w:i w:val="0"/>
          <w:caps w:val="0"/>
          <w:color w:val="000000"/>
          <w:spacing w:val="0"/>
          <w:sz w:val="32"/>
          <w:szCs w:val="32"/>
          <w:lang w:eastAsia="zh-CN"/>
        </w:rPr>
        <w:t>较上年增长</w:t>
      </w:r>
      <w:r>
        <w:rPr>
          <w:rFonts w:hint="eastAsia" w:asciiTheme="minorEastAsia" w:hAnsiTheme="minorEastAsia" w:cstheme="minorEastAsia"/>
          <w:i w:val="0"/>
          <w:caps w:val="0"/>
          <w:color w:val="000000"/>
          <w:spacing w:val="0"/>
          <w:sz w:val="32"/>
          <w:szCs w:val="32"/>
          <w:lang w:val="en-US" w:eastAsia="zh-CN"/>
        </w:rPr>
        <w:t>123.09%，</w:t>
      </w:r>
      <w:r>
        <w:rPr>
          <w:rFonts w:hint="eastAsia" w:asciiTheme="minorEastAsia" w:hAnsiTheme="minorEastAsia" w:eastAsiaTheme="minorEastAsia" w:cstheme="minorEastAsia"/>
          <w:i w:val="0"/>
          <w:caps w:val="0"/>
          <w:color w:val="000000"/>
          <w:spacing w:val="0"/>
          <w:sz w:val="32"/>
          <w:szCs w:val="32"/>
        </w:rPr>
        <w:t>全部是资本性支出，用于国有企业资本金注入。</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说明6</w:t>
      </w:r>
    </w:p>
    <w:p>
      <w:pPr>
        <w:pStyle w:val="2"/>
        <w:keepNext w:val="0"/>
        <w:keepLines w:val="0"/>
        <w:widowControl/>
        <w:suppressLineNumbers w:val="0"/>
        <w:spacing w:before="75" w:beforeAutospacing="0" w:after="75" w:afterAutospacing="0"/>
        <w:ind w:left="0" w:right="0" w:firstLine="420"/>
        <w:jc w:val="center"/>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关于2021年国有资本经营预算安排情况的说明</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一、2021年，国有资本经营收入预算预计3.94亿元，较上年增长</w:t>
      </w:r>
      <w:r>
        <w:rPr>
          <w:rFonts w:hint="eastAsia" w:asciiTheme="minorEastAsia" w:hAnsiTheme="minorEastAsia" w:cstheme="minorEastAsia"/>
          <w:i w:val="0"/>
          <w:caps w:val="0"/>
          <w:color w:val="000000"/>
          <w:spacing w:val="0"/>
          <w:sz w:val="32"/>
          <w:szCs w:val="32"/>
          <w:lang w:val="en-US" w:eastAsia="zh-CN"/>
        </w:rPr>
        <w:t>233.22</w:t>
      </w:r>
      <w:r>
        <w:rPr>
          <w:rFonts w:hint="eastAsia" w:asciiTheme="minorEastAsia" w:hAnsiTheme="minorEastAsia" w:eastAsiaTheme="minorEastAsia" w:cstheme="minorEastAsia"/>
          <w:i w:val="0"/>
          <w:caps w:val="0"/>
          <w:color w:val="000000"/>
          <w:spacing w:val="0"/>
          <w:sz w:val="32"/>
          <w:szCs w:val="32"/>
        </w:rPr>
        <w:t>%，</w:t>
      </w:r>
      <w:r>
        <w:rPr>
          <w:rFonts w:hint="eastAsia" w:asciiTheme="minorEastAsia" w:hAnsiTheme="minorEastAsia" w:cstheme="minorEastAsia"/>
          <w:i w:val="0"/>
          <w:caps w:val="0"/>
          <w:color w:val="000000"/>
          <w:spacing w:val="0"/>
          <w:sz w:val="32"/>
          <w:szCs w:val="32"/>
          <w:lang w:eastAsia="zh-CN"/>
        </w:rPr>
        <w:t>主要是国有企业投资收益的增加</w:t>
      </w:r>
      <w:r>
        <w:rPr>
          <w:rFonts w:hint="eastAsia" w:asciiTheme="minorEastAsia" w:hAnsiTheme="minorEastAsia" w:eastAsiaTheme="minorEastAsia" w:cstheme="minorEastAsia"/>
          <w:i w:val="0"/>
          <w:caps w:val="0"/>
          <w:color w:val="000000"/>
          <w:spacing w:val="0"/>
          <w:sz w:val="32"/>
          <w:szCs w:val="32"/>
        </w:rPr>
        <w:t>。</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二、2021年，国有资本经营支出预算预计3.94亿元</w:t>
      </w:r>
      <w:r>
        <w:rPr>
          <w:rFonts w:hint="eastAsia" w:asciiTheme="minorEastAsia" w:hAnsiTheme="minorEastAsia" w:cstheme="minorEastAsia"/>
          <w:i w:val="0"/>
          <w:caps w:val="0"/>
          <w:color w:val="000000"/>
          <w:spacing w:val="0"/>
          <w:sz w:val="32"/>
          <w:szCs w:val="32"/>
          <w:lang w:eastAsia="zh-CN"/>
        </w:rPr>
        <w:t>，</w:t>
      </w:r>
      <w:r>
        <w:rPr>
          <w:rFonts w:hint="eastAsia" w:asciiTheme="minorEastAsia" w:hAnsiTheme="minorEastAsia" w:eastAsiaTheme="minorEastAsia" w:cstheme="minorEastAsia"/>
          <w:i w:val="0"/>
          <w:caps w:val="0"/>
          <w:color w:val="000000"/>
          <w:spacing w:val="0"/>
          <w:sz w:val="32"/>
          <w:szCs w:val="32"/>
        </w:rPr>
        <w:t>较上年增长</w:t>
      </w:r>
      <w:r>
        <w:rPr>
          <w:rFonts w:hint="eastAsia" w:asciiTheme="minorEastAsia" w:hAnsiTheme="minorEastAsia" w:cstheme="minorEastAsia"/>
          <w:i w:val="0"/>
          <w:caps w:val="0"/>
          <w:color w:val="000000"/>
          <w:spacing w:val="0"/>
          <w:sz w:val="32"/>
          <w:szCs w:val="32"/>
          <w:lang w:val="en-US" w:eastAsia="zh-CN"/>
        </w:rPr>
        <w:t>233.22</w:t>
      </w:r>
      <w:r>
        <w:rPr>
          <w:rFonts w:hint="eastAsia" w:asciiTheme="minorEastAsia" w:hAnsiTheme="minorEastAsia" w:eastAsiaTheme="minorEastAsia" w:cstheme="minorEastAsia"/>
          <w:i w:val="0"/>
          <w:caps w:val="0"/>
          <w:color w:val="000000"/>
          <w:spacing w:val="0"/>
          <w:sz w:val="32"/>
          <w:szCs w:val="32"/>
        </w:rPr>
        <w:t>%，主要用于国有企业资本金注入</w:t>
      </w:r>
      <w:r>
        <w:rPr>
          <w:rFonts w:hint="eastAsia" w:asciiTheme="minorEastAsia" w:hAnsiTheme="minorEastAsia" w:cstheme="minorEastAsia"/>
          <w:i w:val="0"/>
          <w:caps w:val="0"/>
          <w:color w:val="000000"/>
          <w:spacing w:val="0"/>
          <w:sz w:val="32"/>
          <w:szCs w:val="32"/>
          <w:lang w:eastAsia="zh-CN"/>
        </w:rPr>
        <w:t>和其他国有资本经营预算支出（款）</w:t>
      </w:r>
      <w:r>
        <w:rPr>
          <w:rFonts w:hint="eastAsia" w:asciiTheme="minorEastAsia" w:hAnsiTheme="minorEastAsia" w:eastAsiaTheme="minorEastAsia" w:cstheme="minorEastAsia"/>
          <w:i w:val="0"/>
          <w:caps w:val="0"/>
          <w:color w:val="000000"/>
          <w:spacing w:val="0"/>
          <w:sz w:val="32"/>
          <w:szCs w:val="32"/>
        </w:rPr>
        <w:t>。</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说明7</w:t>
      </w:r>
    </w:p>
    <w:p>
      <w:pPr>
        <w:pStyle w:val="2"/>
        <w:keepNext w:val="0"/>
        <w:keepLines w:val="0"/>
        <w:widowControl/>
        <w:suppressLineNumbers w:val="0"/>
        <w:spacing w:before="75" w:beforeAutospacing="0" w:after="75" w:afterAutospacing="0"/>
        <w:ind w:left="0" w:right="0" w:firstLine="420"/>
        <w:jc w:val="center"/>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2020年社会保险基金预算执行情况的说明</w:t>
      </w:r>
    </w:p>
    <w:p>
      <w:pPr>
        <w:pStyle w:val="2"/>
        <w:keepNext w:val="0"/>
        <w:keepLines w:val="0"/>
        <w:widowControl/>
        <w:suppressLineNumbers w:val="0"/>
        <w:spacing w:before="75" w:beforeAutospacing="0" w:after="75" w:afterAutospacing="0"/>
        <w:ind w:right="0" w:firstLine="640" w:firstLineChars="20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社会保险基金预算根据国家社会保险和预算管理法律法规建立、反映各项社会保险基金收支的年度计划。</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2020年社会保险基金收入预计完成5.6亿元，社会保险基金支出预计完成3.58万元，年末滚存结余10.94亿元。</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分险种基金收支完成情况是：</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一、城乡居民基本养老保险。</w:t>
      </w:r>
      <w:r>
        <w:rPr>
          <w:rFonts w:hint="eastAsia" w:asciiTheme="minorEastAsia" w:hAnsiTheme="minorEastAsia" w:eastAsiaTheme="minorEastAsia" w:cstheme="minorEastAsia"/>
          <w:i w:val="0"/>
          <w:caps w:val="0"/>
          <w:color w:val="000000"/>
          <w:spacing w:val="0"/>
          <w:sz w:val="32"/>
          <w:szCs w:val="32"/>
        </w:rPr>
        <w:t>2020年预计参保缴费人数 20.83万人，养老金领取人员5.71万人。基金预计收入1.62亿元,预计支出1.08亿元。</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二、机关事业单位基本养老保险。</w:t>
      </w:r>
      <w:r>
        <w:rPr>
          <w:rFonts w:hint="eastAsia" w:asciiTheme="minorEastAsia" w:hAnsiTheme="minorEastAsia" w:eastAsiaTheme="minorEastAsia" w:cstheme="minorEastAsia"/>
          <w:i w:val="0"/>
          <w:caps w:val="0"/>
          <w:color w:val="000000"/>
          <w:spacing w:val="0"/>
          <w:sz w:val="32"/>
          <w:szCs w:val="32"/>
        </w:rPr>
        <w:t>2020年机关事业单位基本养老保险预计参保人数2.18万人，养老保险领取人员0.4万人。基金预算收入3.98亿元，预计支出2.5亿元。</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说明8</w:t>
      </w:r>
    </w:p>
    <w:p>
      <w:pPr>
        <w:pStyle w:val="2"/>
        <w:keepNext w:val="0"/>
        <w:keepLines w:val="0"/>
        <w:widowControl/>
        <w:suppressLineNumbers w:val="0"/>
        <w:spacing w:before="75" w:beforeAutospacing="0" w:after="75" w:afterAutospacing="0"/>
        <w:ind w:left="0" w:right="0" w:firstLine="420"/>
        <w:jc w:val="center"/>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2021年社会保险基金预算安排情况的说明</w:t>
      </w:r>
    </w:p>
    <w:p>
      <w:pPr>
        <w:pStyle w:val="2"/>
        <w:keepNext w:val="0"/>
        <w:keepLines w:val="0"/>
        <w:widowControl/>
        <w:suppressLineNumbers w:val="0"/>
        <w:spacing w:before="75" w:beforeAutospacing="0" w:after="75" w:afterAutospacing="0"/>
        <w:ind w:right="0" w:firstLine="640" w:firstLineChars="20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2021年社会保险基金收入预算5.32亿元，社会保险基金支出预算4.1亿元，年末滚存结余11.54亿元。</w:t>
      </w:r>
    </w:p>
    <w:p>
      <w:pPr>
        <w:pStyle w:val="2"/>
        <w:keepNext w:val="0"/>
        <w:keepLines w:val="0"/>
        <w:widowControl/>
        <w:suppressLineNumbers w:val="0"/>
        <w:spacing w:before="75" w:beforeAutospacing="0" w:after="75" w:afterAutospacing="0"/>
        <w:ind w:right="0" w:firstLine="640" w:firstLineChars="20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rPr>
        <w:t>分险种基金收支</w:t>
      </w:r>
      <w:r>
        <w:rPr>
          <w:rFonts w:hint="eastAsia" w:asciiTheme="minorEastAsia" w:hAnsiTheme="minorEastAsia" w:eastAsiaTheme="minorEastAsia" w:cstheme="minorEastAsia"/>
          <w:i w:val="0"/>
          <w:caps w:val="0"/>
          <w:color w:val="000000"/>
          <w:spacing w:val="0"/>
          <w:sz w:val="32"/>
          <w:szCs w:val="32"/>
          <w:lang w:eastAsia="zh-CN"/>
        </w:rPr>
        <w:t>预算</w:t>
      </w:r>
      <w:r>
        <w:rPr>
          <w:rFonts w:hint="eastAsia" w:asciiTheme="minorEastAsia" w:hAnsiTheme="minorEastAsia" w:eastAsiaTheme="minorEastAsia" w:cstheme="minorEastAsia"/>
          <w:i w:val="0"/>
          <w:caps w:val="0"/>
          <w:color w:val="000000"/>
          <w:spacing w:val="0"/>
          <w:sz w:val="32"/>
          <w:szCs w:val="32"/>
        </w:rPr>
        <w:t>是：</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一、城乡居民基本养老保险。</w:t>
      </w:r>
      <w:r>
        <w:rPr>
          <w:rFonts w:hint="eastAsia" w:asciiTheme="minorEastAsia" w:hAnsiTheme="minorEastAsia" w:eastAsiaTheme="minorEastAsia" w:cstheme="minorEastAsia"/>
          <w:i w:val="0"/>
          <w:caps w:val="0"/>
          <w:color w:val="000000"/>
          <w:spacing w:val="0"/>
          <w:sz w:val="32"/>
          <w:szCs w:val="32"/>
        </w:rPr>
        <w:t>2021年预计参保缴费人数1.41万人，养老金领取人员5.95万人。基金预算收入1.86亿元，基金支出1.16亿元。</w:t>
      </w:r>
    </w:p>
    <w:p>
      <w:pPr>
        <w:pStyle w:val="2"/>
        <w:keepNext w:val="0"/>
        <w:keepLines w:val="0"/>
        <w:widowControl/>
        <w:suppressLineNumbers w:val="0"/>
        <w:spacing w:before="75" w:beforeAutospacing="0" w:after="75" w:afterAutospacing="0"/>
        <w:ind w:left="0" w:right="0" w:firstLine="420"/>
        <w:jc w:val="left"/>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二、机关事业单位基本养老保险。</w:t>
      </w:r>
      <w:r>
        <w:rPr>
          <w:rFonts w:hint="eastAsia" w:asciiTheme="minorEastAsia" w:hAnsiTheme="minorEastAsia" w:eastAsiaTheme="minorEastAsia" w:cstheme="minorEastAsia"/>
          <w:i w:val="0"/>
          <w:caps w:val="0"/>
          <w:color w:val="000000"/>
          <w:spacing w:val="0"/>
          <w:sz w:val="32"/>
          <w:szCs w:val="32"/>
        </w:rPr>
        <w:t>2020年，机关事业单位基本养老保险预计参保人数2.16万人，养老保险领取人员0.41万人。基金预算收入3.46亿元，基金支出2.94亿元。</w:t>
      </w:r>
    </w:p>
    <w:p>
      <w:pPr>
        <w:jc w:val="left"/>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2010"/>
    <w:multiLevelType w:val="singleLevel"/>
    <w:tmpl w:val="2C22201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06A8E"/>
    <w:rsid w:val="09040A7A"/>
    <w:rsid w:val="1058775D"/>
    <w:rsid w:val="123F20F0"/>
    <w:rsid w:val="1C3F4AC7"/>
    <w:rsid w:val="340E1FAA"/>
    <w:rsid w:val="381A04F2"/>
    <w:rsid w:val="38383215"/>
    <w:rsid w:val="38797B8A"/>
    <w:rsid w:val="3BD74E15"/>
    <w:rsid w:val="412C3817"/>
    <w:rsid w:val="418D3EE5"/>
    <w:rsid w:val="49C62251"/>
    <w:rsid w:val="4BE379C8"/>
    <w:rsid w:val="59900481"/>
    <w:rsid w:val="5C20052A"/>
    <w:rsid w:val="64AB104F"/>
    <w:rsid w:val="6940777A"/>
    <w:rsid w:val="6946237C"/>
    <w:rsid w:val="6BCA6F1C"/>
    <w:rsid w:val="78202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2021-03-17T03:13:39Z</cp:lastPrinted>
  <dcterms:modified xsi:type="dcterms:W3CDTF">2021-03-17T03:32:53Z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