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pStyle w:val="10"/>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CESI仿宋-GB2312" w:hAnsi="CESI仿宋-GB2312" w:eastAsia="CESI仿宋-GB2312" w:cs="CESI仿宋-GB2312"/>
          <w:b w:val="0"/>
          <w:i w:val="0"/>
          <w:caps w:val="0"/>
          <w:spacing w:val="0"/>
          <w:w w:val="100"/>
          <w:sz w:val="32"/>
          <w:szCs w:val="32"/>
          <w:lang w:val="en-US" w:eastAsia="zh-CN"/>
        </w:rPr>
      </w:pPr>
      <w:r>
        <w:rPr>
          <w:rFonts w:hint="eastAsia" w:ascii="CESI仿宋-GB2312" w:hAnsi="CESI仿宋-GB2312" w:eastAsia="CESI仿宋-GB2312" w:cs="CESI仿宋-GB2312"/>
          <w:b w:val="0"/>
          <w:i w:val="0"/>
          <w:caps w:val="0"/>
          <w:spacing w:val="0"/>
          <w:w w:val="100"/>
          <w:sz w:val="32"/>
          <w:szCs w:val="32"/>
          <w:lang w:eastAsia="zh-CN"/>
        </w:rPr>
        <w:t>榆区环</w:t>
      </w:r>
      <w:r>
        <w:rPr>
          <w:rFonts w:hint="eastAsia" w:ascii="CESI仿宋-GB2312" w:hAnsi="CESI仿宋-GB2312" w:eastAsia="CESI仿宋-GB2312" w:cs="CESI仿宋-GB2312"/>
          <w:b w:val="0"/>
          <w:i w:val="0"/>
          <w:caps w:val="0"/>
          <w:spacing w:val="0"/>
          <w:w w:val="100"/>
          <w:sz w:val="32"/>
          <w:szCs w:val="32"/>
          <w:lang w:val="en-US" w:eastAsia="zh-CN"/>
        </w:rPr>
        <w:t>审</w:t>
      </w:r>
      <w:r>
        <w:rPr>
          <w:rFonts w:hint="eastAsia" w:ascii="CESI仿宋-GB2312" w:hAnsi="CESI仿宋-GB2312" w:eastAsia="CESI仿宋-GB2312" w:cs="CESI仿宋-GB2312"/>
          <w:b w:val="0"/>
          <w:i w:val="0"/>
          <w:caps w:val="0"/>
          <w:spacing w:val="0"/>
          <w:w w:val="100"/>
          <w:sz w:val="32"/>
          <w:szCs w:val="32"/>
          <w:lang w:eastAsia="zh-CN"/>
        </w:rPr>
        <w:t>发〔</w:t>
      </w:r>
      <w:r>
        <w:rPr>
          <w:rFonts w:hint="eastAsia" w:ascii="CESI仿宋-GB2312" w:hAnsi="CESI仿宋-GB2312" w:eastAsia="CESI仿宋-GB2312" w:cs="CESI仿宋-GB2312"/>
          <w:b w:val="0"/>
          <w:i w:val="0"/>
          <w:caps w:val="0"/>
          <w:spacing w:val="0"/>
          <w:w w:val="100"/>
          <w:sz w:val="32"/>
          <w:szCs w:val="32"/>
          <w:lang w:val="en-US" w:eastAsia="zh-CN"/>
        </w:rPr>
        <w:t>2024〕17号</w:t>
      </w:r>
    </w:p>
    <w:p>
      <w:pPr>
        <w:spacing w:line="550" w:lineRule="exact"/>
        <w:ind w:right="-198"/>
        <w:jc w:val="center"/>
        <w:rPr>
          <w:rFonts w:hint="eastAsia" w:ascii="方正小标宋简体" w:hAnsi="仿宋" w:eastAsia="方正小标宋简体" w:cs="仿宋"/>
          <w:sz w:val="44"/>
          <w:szCs w:val="32"/>
        </w:rPr>
      </w:pPr>
    </w:p>
    <w:p>
      <w:pPr>
        <w:pageBreakBefore w:val="0"/>
        <w:kinsoku/>
        <w:wordWrap/>
        <w:overflowPunct/>
        <w:topLinePunct w:val="0"/>
        <w:autoSpaceDE/>
        <w:autoSpaceDN/>
        <w:bidi w:val="0"/>
        <w:adjustRightInd/>
        <w:snapToGrid/>
        <w:spacing w:line="560" w:lineRule="exact"/>
        <w:ind w:right="-198"/>
        <w:jc w:val="center"/>
        <w:textAlignment w:val="auto"/>
        <w:rPr>
          <w:rFonts w:hint="eastAsia" w:ascii="方正小标宋简体" w:hAnsi="仿宋" w:eastAsia="方正小标宋简体" w:cs="仿宋"/>
          <w:sz w:val="44"/>
          <w:szCs w:val="32"/>
        </w:rPr>
      </w:pPr>
      <w:r>
        <w:rPr>
          <w:rFonts w:hint="eastAsia" w:ascii="方正小标宋简体" w:hAnsi="仿宋" w:eastAsia="方正小标宋简体" w:cs="仿宋"/>
          <w:sz w:val="44"/>
          <w:szCs w:val="32"/>
        </w:rPr>
        <w:t>榆林市生态环境局榆阳分局</w:t>
      </w:r>
    </w:p>
    <w:p>
      <w:pPr>
        <w:pageBreakBefore w:val="0"/>
        <w:kinsoku/>
        <w:wordWrap/>
        <w:overflowPunct/>
        <w:topLinePunct w:val="0"/>
        <w:autoSpaceDE/>
        <w:autoSpaceDN/>
        <w:bidi w:val="0"/>
        <w:adjustRightInd/>
        <w:snapToGrid/>
        <w:spacing w:line="560" w:lineRule="exact"/>
        <w:ind w:right="-198"/>
        <w:jc w:val="center"/>
        <w:textAlignment w:val="auto"/>
        <w:rPr>
          <w:rFonts w:hint="eastAsia" w:ascii="方正小标宋简体" w:hAnsi="仿宋" w:eastAsia="方正小标宋简体" w:cs="仿宋"/>
          <w:sz w:val="44"/>
          <w:szCs w:val="32"/>
        </w:rPr>
      </w:pPr>
      <w:r>
        <w:rPr>
          <w:rFonts w:hint="eastAsia" w:ascii="方正小标宋简体" w:hAnsi="仿宋" w:eastAsia="方正小标宋简体" w:cs="仿宋"/>
          <w:sz w:val="44"/>
          <w:szCs w:val="32"/>
        </w:rPr>
        <w:t>关于</w:t>
      </w:r>
      <w:r>
        <w:rPr>
          <w:rFonts w:hint="default" w:ascii="方正小标宋简体" w:hAnsi="仿宋" w:eastAsia="方正小标宋简体" w:cs="仿宋"/>
          <w:sz w:val="44"/>
          <w:szCs w:val="32"/>
          <w:lang w:val="en-US" w:eastAsia="zh-CN"/>
        </w:rPr>
        <w:t>榆阳高新区污水处理厂项目</w:t>
      </w:r>
      <w:r>
        <w:rPr>
          <w:rFonts w:hint="eastAsia" w:ascii="方正小标宋简体" w:hAnsi="仿宋" w:eastAsia="方正小标宋简体" w:cs="仿宋"/>
          <w:sz w:val="44"/>
          <w:szCs w:val="32"/>
        </w:rPr>
        <w:t>环境影响</w:t>
      </w:r>
    </w:p>
    <w:p>
      <w:pPr>
        <w:pageBreakBefore w:val="0"/>
        <w:kinsoku/>
        <w:wordWrap/>
        <w:overflowPunct/>
        <w:topLinePunct w:val="0"/>
        <w:autoSpaceDE/>
        <w:autoSpaceDN/>
        <w:bidi w:val="0"/>
        <w:adjustRightInd/>
        <w:snapToGrid/>
        <w:spacing w:line="560" w:lineRule="exact"/>
        <w:ind w:right="-198"/>
        <w:jc w:val="center"/>
        <w:textAlignment w:val="auto"/>
        <w:rPr>
          <w:rFonts w:ascii="方正小标宋简体" w:hAnsi="仿宋" w:eastAsia="方正小标宋简体" w:cs="仿宋"/>
          <w:sz w:val="44"/>
          <w:szCs w:val="32"/>
        </w:rPr>
      </w:pPr>
      <w:r>
        <w:rPr>
          <w:rFonts w:hint="eastAsia" w:ascii="方正小标宋简体" w:hAnsi="仿宋" w:eastAsia="方正小标宋简体" w:cs="仿宋"/>
          <w:sz w:val="44"/>
          <w:szCs w:val="32"/>
        </w:rPr>
        <w:t>报告表的审批意见</w:t>
      </w:r>
    </w:p>
    <w:p>
      <w:pPr>
        <w:pStyle w:val="10"/>
        <w:pageBreakBefore w:val="0"/>
        <w:kinsoku/>
        <w:wordWrap/>
        <w:overflowPunct/>
        <w:topLinePunct w:val="0"/>
        <w:autoSpaceDE/>
        <w:autoSpaceDN/>
        <w:bidi w:val="0"/>
        <w:adjustRightInd/>
        <w:snapToGrid/>
        <w:spacing w:before="156" w:line="560" w:lineRule="exact"/>
        <w:textAlignment w:val="auto"/>
        <w:rPr>
          <w:rFonts w:hint="eastAsia" w:ascii="CESI仿宋-GB2312" w:hAnsi="CESI仿宋-GB2312" w:eastAsia="CESI仿宋-GB2312" w:cs="CESI仿宋-GB2312"/>
          <w:b w:val="0"/>
          <w:bCs w:val="0"/>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CESI仿宋-GB2312" w:hAnsi="CESI仿宋-GB2312" w:eastAsia="CESI仿宋-GB2312" w:cs="CESI仿宋-GB2312"/>
          <w:b w:val="0"/>
          <w:bCs w:val="0"/>
          <w:kern w:val="2"/>
          <w:sz w:val="32"/>
          <w:szCs w:val="32"/>
          <w:lang w:val="en-US" w:eastAsia="zh-CN" w:bidi="ar-SA"/>
        </w:rPr>
      </w:pPr>
      <w:r>
        <w:rPr>
          <w:rFonts w:hint="default" w:ascii="CESI仿宋-GB2312" w:hAnsi="CESI仿宋-GB2312" w:eastAsia="CESI仿宋-GB2312" w:cs="CESI仿宋-GB2312"/>
          <w:b w:val="0"/>
          <w:bCs w:val="0"/>
          <w:kern w:val="2"/>
          <w:sz w:val="32"/>
          <w:szCs w:val="32"/>
          <w:lang w:val="en-US" w:eastAsia="zh-CN" w:bidi="ar-SA"/>
        </w:rPr>
        <w:t>榆林市榆阳产业园区管理委员会</w:t>
      </w:r>
      <w:r>
        <w:rPr>
          <w:rFonts w:hint="eastAsia" w:ascii="CESI仿宋-GB2312" w:hAnsi="CESI仿宋-GB2312" w:eastAsia="CESI仿宋-GB2312" w:cs="CESI仿宋-GB2312"/>
          <w:b w:val="0"/>
          <w:bCs w:val="0"/>
          <w:kern w:val="2"/>
          <w:sz w:val="32"/>
          <w:szCs w:val="32"/>
          <w:lang w:val="en-US" w:eastAsia="zh-CN" w:bidi="ar-SA"/>
        </w:rPr>
        <w:t>：</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你</w:t>
      </w:r>
      <w:r>
        <w:rPr>
          <w:rFonts w:hint="eastAsia" w:ascii="CESI仿宋-GB2312" w:hAnsi="CESI仿宋-GB2312" w:eastAsia="CESI仿宋-GB2312" w:cs="CESI仿宋-GB2312"/>
          <w:sz w:val="32"/>
          <w:szCs w:val="32"/>
          <w:lang w:val="en-US" w:eastAsia="zh-CN"/>
        </w:rPr>
        <w:t>管理委员会</w:t>
      </w:r>
      <w:r>
        <w:rPr>
          <w:rFonts w:hint="eastAsia" w:ascii="CESI仿宋-GB2312" w:hAnsi="CESI仿宋-GB2312" w:eastAsia="CESI仿宋-GB2312" w:cs="CESI仿宋-GB2312"/>
          <w:sz w:val="32"/>
          <w:szCs w:val="32"/>
        </w:rPr>
        <w:t>报送的《</w:t>
      </w:r>
      <w:r>
        <w:rPr>
          <w:rFonts w:hint="default" w:ascii="CESI仿宋-GB2312" w:hAnsi="CESI仿宋-GB2312" w:eastAsia="CESI仿宋-GB2312" w:cs="CESI仿宋-GB2312"/>
          <w:b w:val="0"/>
          <w:bCs w:val="0"/>
          <w:kern w:val="2"/>
          <w:sz w:val="32"/>
          <w:szCs w:val="32"/>
          <w:lang w:val="en-US" w:eastAsia="zh-CN" w:bidi="ar-SA"/>
        </w:rPr>
        <w:t>榆阳高新区污水处理厂项目</w:t>
      </w:r>
      <w:r>
        <w:rPr>
          <w:rFonts w:hint="eastAsia" w:ascii="CESI仿宋-GB2312" w:hAnsi="CESI仿宋-GB2312" w:eastAsia="CESI仿宋-GB2312" w:cs="CESI仿宋-GB2312"/>
          <w:b w:val="0"/>
          <w:bCs w:val="0"/>
          <w:kern w:val="2"/>
          <w:sz w:val="32"/>
          <w:szCs w:val="32"/>
          <w:lang w:val="en-US" w:eastAsia="zh-CN" w:bidi="ar-SA"/>
        </w:rPr>
        <w:t>环境影响报告表》及</w:t>
      </w:r>
      <w:r>
        <w:rPr>
          <w:rFonts w:hint="eastAsia" w:ascii="CESI仿宋-GB2312" w:hAnsi="CESI仿宋-GB2312" w:eastAsia="CESI仿宋-GB2312" w:cs="CESI仿宋-GB2312"/>
          <w:sz w:val="32"/>
          <w:szCs w:val="32"/>
          <w:lang w:eastAsia="zh-CN"/>
        </w:rPr>
        <w:t>相关资料</w:t>
      </w:r>
      <w:r>
        <w:rPr>
          <w:rFonts w:hint="eastAsia" w:ascii="CESI仿宋-GB2312" w:hAnsi="CESI仿宋-GB2312" w:eastAsia="CESI仿宋-GB2312" w:cs="CESI仿宋-GB2312"/>
          <w:sz w:val="32"/>
          <w:szCs w:val="32"/>
        </w:rPr>
        <w:t>已收悉，经审查研究，批复如下：</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一、该项目位于</w:t>
      </w:r>
      <w:r>
        <w:rPr>
          <w:rFonts w:hint="default" w:ascii="CESI仿宋-GB2312" w:hAnsi="CESI仿宋-GB2312" w:eastAsia="CESI仿宋-GB2312" w:cs="CESI仿宋-GB2312"/>
          <w:sz w:val="32"/>
          <w:szCs w:val="32"/>
          <w:lang w:val="en-US" w:eastAsia="zh-CN"/>
        </w:rPr>
        <w:t>陕西省榆林市榆阳区青云镇郑家川村</w:t>
      </w:r>
      <w:r>
        <w:rPr>
          <w:rFonts w:hint="eastAsia" w:ascii="CESI仿宋-GB2312" w:hAnsi="CESI仿宋-GB2312" w:eastAsia="CESI仿宋-GB2312" w:cs="CESI仿宋-GB2312"/>
          <w:sz w:val="32"/>
          <w:szCs w:val="32"/>
          <w:lang w:val="en-US" w:eastAsia="zh-CN"/>
        </w:rPr>
        <w:t>，占地面积40856㎡。项目拟新建</w:t>
      </w:r>
      <w:r>
        <w:rPr>
          <w:rFonts w:hint="default" w:ascii="CESI仿宋-GB2312" w:hAnsi="CESI仿宋-GB2312" w:eastAsia="CESI仿宋-GB2312" w:cs="CESI仿宋-GB2312"/>
          <w:sz w:val="32"/>
          <w:szCs w:val="32"/>
          <w:lang w:val="en-US" w:eastAsia="zh-CN"/>
        </w:rPr>
        <w:t>污水提升与预处理系统、污水生化处理、污泥处理、厂区附属建筑及配套设施。</w:t>
      </w:r>
      <w:r>
        <w:rPr>
          <w:rFonts w:hint="eastAsia" w:ascii="CESI仿宋-GB2312" w:hAnsi="CESI仿宋-GB2312" w:eastAsia="CESI仿宋-GB2312" w:cs="CESI仿宋-GB2312"/>
          <w:sz w:val="32"/>
          <w:szCs w:val="32"/>
          <w:lang w:val="en-US" w:eastAsia="zh-CN"/>
        </w:rPr>
        <w:t>项目总投资为</w:t>
      </w:r>
      <w:r>
        <w:rPr>
          <w:rFonts w:hint="default" w:ascii="CESI仿宋-GB2312" w:hAnsi="CESI仿宋-GB2312" w:eastAsia="CESI仿宋-GB2312" w:cs="CESI仿宋-GB2312"/>
          <w:sz w:val="32"/>
          <w:szCs w:val="32"/>
          <w:lang w:val="en-US" w:eastAsia="zh-CN"/>
        </w:rPr>
        <w:t>13000</w:t>
      </w:r>
      <w:r>
        <w:rPr>
          <w:rFonts w:hint="eastAsia" w:ascii="CESI仿宋-GB2312" w:hAnsi="CESI仿宋-GB2312" w:eastAsia="CESI仿宋-GB2312" w:cs="CESI仿宋-GB2312"/>
          <w:sz w:val="32"/>
          <w:szCs w:val="32"/>
          <w:lang w:val="en-US" w:eastAsia="zh-CN"/>
        </w:rPr>
        <w:t>万元，其中环保投资为166.8万元，占总投资的1.28%。</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二、</w:t>
      </w:r>
      <w:r>
        <w:rPr>
          <w:rFonts w:hint="eastAsia" w:ascii="CESI仿宋-GB2312" w:hAnsi="CESI仿宋-GB2312" w:eastAsia="CESI仿宋-GB2312" w:cs="CESI仿宋-GB2312"/>
          <w:sz w:val="32"/>
          <w:szCs w:val="32"/>
        </w:rPr>
        <w:t>该项目在全面落实环境影响报告表和本意见提出的各项污染防治措施后，建设项目对环境不利影响能够得到缓减和控制，污染物可做到达标排放。该项目已在榆林市榆阳区</w:t>
      </w:r>
      <w:r>
        <w:rPr>
          <w:rFonts w:hint="eastAsia" w:ascii="CESI仿宋-GB2312" w:hAnsi="CESI仿宋-GB2312" w:eastAsia="CESI仿宋-GB2312" w:cs="CESI仿宋-GB2312"/>
          <w:sz w:val="32"/>
          <w:szCs w:val="32"/>
          <w:lang w:val="en-US" w:eastAsia="zh-CN"/>
        </w:rPr>
        <w:t>人民</w:t>
      </w:r>
      <w:r>
        <w:rPr>
          <w:rFonts w:hint="eastAsia" w:ascii="CESI仿宋-GB2312" w:hAnsi="CESI仿宋-GB2312" w:eastAsia="CESI仿宋-GB2312" w:cs="CESI仿宋-GB2312"/>
          <w:sz w:val="32"/>
          <w:szCs w:val="32"/>
        </w:rPr>
        <w:t>政府门户网站公示，公示期间我局没有收到任何建议和意见。经</w:t>
      </w:r>
      <w:r>
        <w:rPr>
          <w:rFonts w:hint="eastAsia" w:ascii="CESI仿宋-GB2312" w:hAnsi="CESI仿宋-GB2312" w:eastAsia="CESI仿宋-GB2312" w:cs="CESI仿宋-GB2312"/>
          <w:sz w:val="32"/>
          <w:szCs w:val="32"/>
          <w:lang w:val="en-US" w:eastAsia="zh-CN"/>
        </w:rPr>
        <w:t>单位</w:t>
      </w:r>
      <w:r>
        <w:rPr>
          <w:rFonts w:hint="eastAsia" w:ascii="CESI仿宋-GB2312" w:hAnsi="CESI仿宋-GB2312" w:eastAsia="CESI仿宋-GB2312" w:cs="CESI仿宋-GB2312"/>
          <w:sz w:val="32"/>
          <w:szCs w:val="32"/>
        </w:rPr>
        <w:t>项目</w:t>
      </w:r>
      <w:r>
        <w:rPr>
          <w:rFonts w:hint="eastAsia" w:ascii="CESI仿宋-GB2312" w:hAnsi="CESI仿宋-GB2312" w:eastAsia="CESI仿宋-GB2312" w:cs="CESI仿宋-GB2312"/>
          <w:color w:val="000000" w:themeColor="text1"/>
          <w:sz w:val="32"/>
          <w:szCs w:val="32"/>
          <w14:textFill>
            <w14:solidFill>
              <w14:schemeClr w14:val="tx1"/>
            </w14:solidFill>
          </w14:textFill>
        </w:rPr>
        <w:t>审查</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会议</w:t>
      </w:r>
      <w:r>
        <w:rPr>
          <w:rFonts w:hint="eastAsia" w:ascii="CESI仿宋-GB2312" w:hAnsi="CESI仿宋-GB2312" w:eastAsia="CESI仿宋-GB2312" w:cs="CESI仿宋-GB2312"/>
          <w:sz w:val="32"/>
          <w:szCs w:val="32"/>
        </w:rPr>
        <w:t>研究，从环保角度分析，项目可行同意建设。</w:t>
      </w:r>
    </w:p>
    <w:p>
      <w:pPr>
        <w:keepNext w:val="0"/>
        <w:keepLines w:val="0"/>
        <w:pageBreakBefore w:val="0"/>
        <w:kinsoku/>
        <w:wordWrap/>
        <w:overflowPunct/>
        <w:topLinePunct w:val="0"/>
        <w:autoSpaceDE/>
        <w:autoSpaceDN/>
        <w:bidi w:val="0"/>
        <w:adjustRightInd/>
        <w:snapToGrid/>
        <w:spacing w:line="520" w:lineRule="exact"/>
        <w:ind w:firstLine="645"/>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三、项目在建设和运行管理中应重点做好以下工作</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（一）项目施工期严格落实《榆阳区生态环境保护污染防治攻坚战</w:t>
      </w:r>
      <w:r>
        <w:rPr>
          <w:rFonts w:hint="eastAsia" w:ascii="CESI仿宋-GB2312" w:hAnsi="CESI仿宋-GB2312" w:eastAsia="CESI仿宋-GB2312" w:cs="CESI仿宋-GB2312"/>
          <w:color w:val="000000" w:themeColor="text1"/>
          <w:sz w:val="32"/>
          <w:szCs w:val="32"/>
          <w14:textFill>
            <w14:solidFill>
              <w14:schemeClr w14:val="tx1"/>
            </w14:solidFill>
          </w14:textFill>
        </w:rPr>
        <w:t>行动方案》</w:t>
      </w:r>
      <w:r>
        <w:rPr>
          <w:rFonts w:hint="eastAsia" w:ascii="CESI仿宋-GB2312" w:hAnsi="CESI仿宋-GB2312" w:eastAsia="CESI仿宋-GB2312" w:cs="CESI仿宋-GB2312"/>
          <w:sz w:val="32"/>
          <w:szCs w:val="32"/>
        </w:rPr>
        <w:t>中的相关规定</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项目环境影响报告表中提出的环境保护和污染防治措施可作为工程实施的依据</w:t>
      </w:r>
      <w:r>
        <w:rPr>
          <w:rFonts w:hint="eastAsia" w:ascii="CESI仿宋-GB2312" w:hAnsi="CESI仿宋-GB2312" w:eastAsia="CESI仿宋-GB2312" w:cs="CESI仿宋-GB2312"/>
          <w:sz w:val="32"/>
          <w:szCs w:val="32"/>
          <w:lang w:val="en-US" w:eastAsia="zh-CN"/>
        </w:rPr>
        <w:t>,必须按要求实施</w:t>
      </w:r>
      <w:r>
        <w:rPr>
          <w:rFonts w:hint="eastAsia" w:ascii="CESI仿宋-GB2312" w:hAnsi="CESI仿宋-GB2312" w:eastAsia="CESI仿宋-GB2312" w:cs="CESI仿宋-GB2312"/>
          <w:sz w:val="32"/>
          <w:szCs w:val="32"/>
        </w:rPr>
        <w:t>。</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（二）运营期</w:t>
      </w:r>
      <w:r>
        <w:rPr>
          <w:rFonts w:hint="eastAsia" w:ascii="CESI仿宋-GB2312" w:hAnsi="CESI仿宋-GB2312" w:eastAsia="CESI仿宋-GB2312" w:cs="CESI仿宋-GB2312"/>
          <w:sz w:val="32"/>
          <w:szCs w:val="32"/>
          <w:lang w:eastAsia="zh-CN"/>
        </w:rPr>
        <w:t>冬季采暖选用天然气、电等清洁能源，禁止安装燃煤锅炉；</w:t>
      </w:r>
      <w:r>
        <w:rPr>
          <w:rFonts w:hint="eastAsia" w:ascii="CESI仿宋-GB2312" w:hAnsi="CESI仿宋-GB2312" w:eastAsia="CESI仿宋-GB2312" w:cs="CESI仿宋-GB2312"/>
          <w:sz w:val="32"/>
          <w:szCs w:val="32"/>
          <w:lang w:val="en-US" w:eastAsia="zh-CN"/>
        </w:rPr>
        <w:t>严格落实项目环境影响评价报告表中提出的大气污染防治措施，加强全厂除臭系统的日常管理，确保恶臭气体达标排放。</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（三）污水处理厂出水口须安装在线监测装置，须与环境主管部门联网；项目出水水质须满足相关标准要求。</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（四）采取分区防渗，设立地下水监控井并按要求落实地下水监控计划；加强运行期的维护管理，防止污水下渗污染地下水体；加强污泥规范化处置和利用工作，防止产生二次污染。</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五</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项目运行中应充分考虑陕北冬季寒冷气候条件对生化处理效果的影响，做好保温措施，加强运行期的维护管理，严防设备故障，避免污水直接外排对环境造成影响。</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CESI仿宋-GB2312" w:hAnsi="CESI仿宋-GB2312" w:eastAsia="CESI仿宋-GB2312" w:cs="CESI仿宋-GB2312"/>
          <w:color w:val="000000" w:themeColor="text1"/>
          <w:sz w:val="32"/>
          <w:szCs w:val="32"/>
          <w14:textFill>
            <w14:solidFill>
              <w14:schemeClr w14:val="tx1"/>
            </w14:solidFill>
          </w14:textFill>
        </w:rPr>
      </w:pPr>
      <w:r>
        <w:rPr>
          <w:rFonts w:hint="eastAsia" w:ascii="CESI仿宋-GB2312" w:hAnsi="CESI仿宋-GB2312" w:eastAsia="CESI仿宋-GB2312" w:cs="CESI仿宋-GB2312"/>
          <w:sz w:val="32"/>
          <w:szCs w:val="32"/>
          <w:lang w:val="en-US" w:eastAsia="zh-CN"/>
        </w:rPr>
        <w:t>（六）</w:t>
      </w:r>
      <w:r>
        <w:rPr>
          <w:rFonts w:hint="eastAsia" w:ascii="CESI仿宋-GB2312" w:hAnsi="CESI仿宋-GB2312" w:eastAsia="CESI仿宋-GB2312" w:cs="CESI仿宋-GB2312"/>
          <w:sz w:val="32"/>
          <w:szCs w:val="32"/>
        </w:rPr>
        <w:t>项目运营期产生的</w:t>
      </w:r>
      <w:r>
        <w:rPr>
          <w:rFonts w:hint="eastAsia" w:ascii="CESI仿宋-GB2312" w:hAnsi="CESI仿宋-GB2312" w:eastAsia="CESI仿宋-GB2312" w:cs="CESI仿宋-GB2312"/>
          <w:color w:val="000000" w:themeColor="text1"/>
          <w:sz w:val="32"/>
          <w:szCs w:val="32"/>
          <w14:textFill>
            <w14:solidFill>
              <w14:schemeClr w14:val="tx1"/>
            </w14:solidFill>
          </w14:textFill>
        </w:rPr>
        <w:t>危险废物应严格执行《危险废物转移联单管理办法》中有关规定，须交由有资质的单位处置</w:t>
      </w: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w:t>
      </w:r>
      <w:r>
        <w:rPr>
          <w:rFonts w:hint="eastAsia" w:ascii="CESI仿宋-GB2312" w:hAnsi="CESI仿宋-GB2312" w:eastAsia="CESI仿宋-GB2312" w:cs="CESI仿宋-GB2312"/>
          <w:color w:val="000000" w:themeColor="text1"/>
          <w:sz w:val="32"/>
          <w:szCs w:val="32"/>
          <w14:textFill>
            <w14:solidFill>
              <w14:schemeClr w14:val="tx1"/>
            </w14:solidFill>
          </w14:textFill>
        </w:rPr>
        <w:t>并建立转移联单制</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度，</w:t>
      </w:r>
      <w:r>
        <w:rPr>
          <w:rFonts w:hint="eastAsia" w:ascii="CESI仿宋-GB2312" w:hAnsi="CESI仿宋-GB2312" w:eastAsia="CESI仿宋-GB2312" w:cs="CESI仿宋-GB2312"/>
          <w:color w:val="000000" w:themeColor="text1"/>
          <w:sz w:val="32"/>
          <w:szCs w:val="32"/>
          <w14:textFill>
            <w14:solidFill>
              <w14:schemeClr w14:val="tx1"/>
            </w14:solidFill>
          </w14:textFill>
        </w:rPr>
        <w:t>严禁乱</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堆</w:t>
      </w:r>
      <w:r>
        <w:rPr>
          <w:rFonts w:hint="eastAsia" w:ascii="CESI仿宋-GB2312" w:hAnsi="CESI仿宋-GB2312" w:eastAsia="CESI仿宋-GB2312" w:cs="CESI仿宋-GB2312"/>
          <w:color w:val="000000" w:themeColor="text1"/>
          <w:sz w:val="32"/>
          <w:szCs w:val="32"/>
          <w14:textFill>
            <w14:solidFill>
              <w14:schemeClr w14:val="tx1"/>
            </w14:solidFill>
          </w14:textFill>
        </w:rPr>
        <w:t>乱</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存</w:t>
      </w:r>
      <w:r>
        <w:rPr>
          <w:rFonts w:hint="eastAsia" w:ascii="CESI仿宋-GB2312" w:hAnsi="CESI仿宋-GB2312" w:eastAsia="CESI仿宋-GB2312" w:cs="CESI仿宋-GB2312"/>
          <w:color w:val="000000" w:themeColor="text1"/>
          <w:sz w:val="32"/>
          <w:szCs w:val="32"/>
          <w14:textFill>
            <w14:solidFill>
              <w14:schemeClr w14:val="tx1"/>
            </w14:solidFill>
          </w14:textFill>
        </w:rPr>
        <w:t>；</w:t>
      </w: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项目产生的</w:t>
      </w:r>
      <w:r>
        <w:rPr>
          <w:rFonts w:hint="eastAsia" w:ascii="CESI仿宋-GB2312" w:hAnsi="CESI仿宋-GB2312" w:eastAsia="CESI仿宋-GB2312" w:cs="CESI仿宋-GB2312"/>
          <w:color w:val="000000" w:themeColor="text1"/>
          <w:sz w:val="32"/>
          <w:szCs w:val="32"/>
          <w14:textFill>
            <w14:solidFill>
              <w14:schemeClr w14:val="tx1"/>
            </w14:solidFill>
          </w14:textFill>
        </w:rPr>
        <w:t>一般固废、生活垃圾集中分类收集后，</w:t>
      </w: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可利用的综合利用，</w:t>
      </w:r>
      <w:r>
        <w:rPr>
          <w:rFonts w:hint="eastAsia" w:ascii="CESI仿宋-GB2312" w:hAnsi="CESI仿宋-GB2312" w:eastAsia="CESI仿宋-GB2312" w:cs="CESI仿宋-GB2312"/>
          <w:color w:val="000000" w:themeColor="text1"/>
          <w:sz w:val="32"/>
          <w:szCs w:val="32"/>
          <w14:textFill>
            <w14:solidFill>
              <w14:schemeClr w14:val="tx1"/>
            </w14:solidFill>
          </w14:textFill>
        </w:rPr>
        <w:t>不可利用的交由环卫部门统一处置，严禁随意乱倾乱倒。</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CESI仿宋-GB2312" w:hAnsi="CESI仿宋-GB2312" w:eastAsia="CESI仿宋-GB2312" w:cs="CESI仿宋-GB2312"/>
          <w:color w:val="000000" w:themeColor="text1"/>
          <w:sz w:val="32"/>
          <w:szCs w:val="32"/>
          <w:lang w:eastAsia="zh-CN"/>
          <w14:textFill>
            <w14:solidFill>
              <w14:schemeClr w14:val="tx1"/>
            </w14:solidFill>
          </w14:textFill>
        </w:rPr>
      </w:pP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val="en-US" w:eastAsia="zh-CN"/>
        </w:rPr>
        <w:t>七</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eastAsia="zh-CN"/>
        </w:rPr>
        <w:t>本项目</w:t>
      </w: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入河排污口的设置须另行办理环境影响评价手续。</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color w:val="000000" w:themeColor="text1"/>
          <w:sz w:val="32"/>
          <w:szCs w:val="32"/>
          <w14:textFill>
            <w14:solidFill>
              <w14:schemeClr w14:val="tx1"/>
            </w14:solidFill>
          </w14:textFill>
        </w:rPr>
        <w:t>（</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八</w:t>
      </w:r>
      <w:r>
        <w:rPr>
          <w:rFonts w:hint="eastAsia" w:ascii="CESI仿宋-GB2312" w:hAnsi="CESI仿宋-GB2312" w:eastAsia="CESI仿宋-GB2312" w:cs="CESI仿宋-GB2312"/>
          <w:color w:val="000000" w:themeColor="text1"/>
          <w:sz w:val="32"/>
          <w:szCs w:val="32"/>
          <w14:textFill>
            <w14:solidFill>
              <w14:schemeClr w14:val="tx1"/>
            </w14:solidFill>
          </w14:textFill>
        </w:rPr>
        <w:t>）</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加强环境风险的安全防范和管理措施</w:t>
      </w:r>
      <w:r>
        <w:rPr>
          <w:rFonts w:hint="eastAsia" w:ascii="CESI仿宋-GB2312" w:hAnsi="CESI仿宋-GB2312" w:eastAsia="CESI仿宋-GB2312" w:cs="CESI仿宋-GB2312"/>
          <w:sz w:val="32"/>
          <w:szCs w:val="32"/>
          <w:lang w:val="en-US" w:eastAsia="zh-CN"/>
        </w:rPr>
        <w:t>，制定切实可行的应急预案，并经审查后报我局备案。</w:t>
      </w:r>
    </w:p>
    <w:p>
      <w:pPr>
        <w:pStyle w:val="15"/>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CESI仿宋-GB2312" w:hAnsi="CESI仿宋-GB2312" w:eastAsia="CESI仿宋-GB2312" w:cs="CESI仿宋-GB2312"/>
          <w:color w:val="000000"/>
          <w:sz w:val="32"/>
          <w:szCs w:val="32"/>
        </w:rPr>
      </w:pPr>
      <w:r>
        <w:rPr>
          <w:rFonts w:hint="eastAsia" w:ascii="CESI仿宋-GB2312" w:hAnsi="CESI仿宋-GB2312" w:eastAsia="CESI仿宋-GB2312" w:cs="CESI仿宋-GB2312"/>
          <w:b w:val="0"/>
          <w:bCs w:val="0"/>
          <w:color w:val="000000"/>
          <w:sz w:val="32"/>
          <w:szCs w:val="32"/>
        </w:rPr>
        <w:t>四、项目建设</w:t>
      </w:r>
      <w:r>
        <w:rPr>
          <w:rFonts w:hint="eastAsia" w:ascii="CESI仿宋-GB2312" w:hAnsi="CESI仿宋-GB2312" w:eastAsia="CESI仿宋-GB2312" w:cs="CESI仿宋-GB2312"/>
          <w:color w:val="000000"/>
          <w:sz w:val="32"/>
          <w:szCs w:val="32"/>
        </w:rPr>
        <w:t>必须严格执行环境保护设施与主体工程同时设计、同时施工、同时投产使用的环境保护“三同时”制度，落实各项环境保护措施。项目建成后，建设单位必须按规定程序进行竣工环境保护验收，经验收合格后，方可正式投入运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五、</w:t>
      </w:r>
      <w:r>
        <w:rPr>
          <w:rFonts w:hint="eastAsia" w:ascii="CESI仿宋-GB2312" w:hAnsi="CESI仿宋-GB2312" w:eastAsia="CESI仿宋-GB2312" w:cs="CESI仿宋-GB2312"/>
          <w:color w:val="000000"/>
          <w:sz w:val="32"/>
          <w:szCs w:val="32"/>
        </w:rPr>
        <w:t>环境影响报告表经批准后，</w:t>
      </w:r>
      <w:r>
        <w:rPr>
          <w:rFonts w:hint="eastAsia" w:ascii="CESI仿宋-GB2312" w:hAnsi="CESI仿宋-GB2312" w:eastAsia="CESI仿宋-GB2312" w:cs="CESI仿宋-GB2312"/>
          <w:sz w:val="32"/>
          <w:szCs w:val="32"/>
        </w:rPr>
        <w:t>项目的性质、规模、地点</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采用的</w:t>
      </w:r>
      <w:r>
        <w:rPr>
          <w:rFonts w:hint="eastAsia" w:ascii="CESI仿宋-GB2312" w:hAnsi="CESI仿宋-GB2312" w:eastAsia="CESI仿宋-GB2312" w:cs="CESI仿宋-GB2312"/>
          <w:sz w:val="32"/>
          <w:szCs w:val="32"/>
        </w:rPr>
        <w:t>生产工艺或者防治污染、防止生态破坏的措施发生重大变动的，应当重新报批该项目的环境影响报告表。自环境影响报告表批复文件批准之日起超过</w:t>
      </w:r>
      <w:r>
        <w:rPr>
          <w:rFonts w:hint="eastAsia" w:ascii="CESI仿宋-GB2312" w:hAnsi="CESI仿宋-GB2312" w:eastAsia="CESI仿宋-GB2312" w:cs="CESI仿宋-GB2312"/>
          <w:sz w:val="32"/>
          <w:szCs w:val="32"/>
          <w:lang w:val="en-US" w:eastAsia="zh-CN"/>
        </w:rPr>
        <w:t>五</w:t>
      </w:r>
      <w:r>
        <w:rPr>
          <w:rFonts w:hint="eastAsia" w:ascii="CESI仿宋-GB2312" w:hAnsi="CESI仿宋-GB2312" w:eastAsia="CESI仿宋-GB2312" w:cs="CESI仿宋-GB2312"/>
          <w:sz w:val="32"/>
          <w:szCs w:val="32"/>
        </w:rPr>
        <w:t>年</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方决定工程开工建设的，环境影响报告表应当报我局重新审核。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六、按照《建设项目环境保护事中事后监督管理办法（试行）》要求，该项目须接受</w:t>
      </w:r>
      <w:r>
        <w:rPr>
          <w:rFonts w:hint="eastAsia" w:ascii="CESI仿宋-GB2312" w:hAnsi="CESI仿宋-GB2312" w:eastAsia="CESI仿宋-GB2312" w:cs="CESI仿宋-GB2312"/>
          <w:color w:val="000000"/>
          <w:sz w:val="32"/>
          <w:szCs w:val="32"/>
        </w:rPr>
        <w:t>榆林市生态环境保护综合执法支队榆阳直属大队</w:t>
      </w:r>
      <w:r>
        <w:rPr>
          <w:rFonts w:hint="eastAsia" w:ascii="CESI仿宋-GB2312" w:hAnsi="CESI仿宋-GB2312" w:eastAsia="CESI仿宋-GB2312" w:cs="CESI仿宋-GB2312"/>
          <w:sz w:val="32"/>
          <w:szCs w:val="32"/>
        </w:rPr>
        <w:t>事中事后</w:t>
      </w:r>
      <w:r>
        <w:rPr>
          <w:rFonts w:hint="eastAsia" w:ascii="CESI仿宋-GB2312" w:hAnsi="CESI仿宋-GB2312" w:eastAsia="CESI仿宋-GB2312" w:cs="CESI仿宋-GB2312"/>
          <w:color w:val="000000"/>
          <w:sz w:val="32"/>
          <w:szCs w:val="32"/>
        </w:rPr>
        <w:t>的</w:t>
      </w:r>
      <w:r>
        <w:rPr>
          <w:rFonts w:hint="eastAsia" w:ascii="CESI仿宋-GB2312" w:hAnsi="CESI仿宋-GB2312" w:eastAsia="CESI仿宋-GB2312" w:cs="CESI仿宋-GB2312"/>
          <w:sz w:val="32"/>
          <w:szCs w:val="32"/>
        </w:rPr>
        <w:t>监督管理。</w:t>
      </w:r>
    </w:p>
    <w:p>
      <w:pPr>
        <w:pStyle w:val="10"/>
        <w:rPr>
          <w:rFonts w:hint="eastAsia"/>
        </w:rPr>
      </w:pPr>
    </w:p>
    <w:p>
      <w:pPr>
        <w:pStyle w:val="4"/>
        <w:pageBreakBefore w:val="0"/>
        <w:widowControl w:val="0"/>
        <w:tabs>
          <w:tab w:val="left" w:pos="420"/>
        </w:tabs>
        <w:kinsoku/>
        <w:wordWrap/>
        <w:overflowPunct/>
        <w:topLinePunct w:val="0"/>
        <w:autoSpaceDE/>
        <w:autoSpaceDN/>
        <w:bidi w:val="0"/>
        <w:adjustRightInd/>
        <w:snapToGrid/>
        <w:spacing w:line="560" w:lineRule="exact"/>
        <w:jc w:val="center"/>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榆林市生态环境局榆阳分局</w:t>
      </w:r>
    </w:p>
    <w:p>
      <w:pPr>
        <w:keepNext/>
        <w:keepLines/>
        <w:pageBreakBefore w:val="0"/>
        <w:widowControl w:val="0"/>
        <w:kinsoku/>
        <w:wordWrap/>
        <w:overflowPunct/>
        <w:topLinePunct w:val="0"/>
        <w:autoSpaceDE/>
        <w:autoSpaceDN/>
        <w:bidi w:val="0"/>
        <w:adjustRightInd/>
        <w:snapToGrid/>
        <w:spacing w:line="560" w:lineRule="exact"/>
        <w:ind w:firstLine="4480" w:firstLineChars="1400"/>
        <w:textAlignment w:val="auto"/>
        <w:outlineLvl w:val="9"/>
        <w:rPr>
          <w:rFonts w:hint="eastAsia" w:ascii="CESI仿宋-GB2312" w:hAnsi="CESI仿宋-GB2312" w:eastAsia="CESI仿宋-GB2312" w:cs="CESI仿宋-GB2312"/>
          <w:b w:val="0"/>
          <w:bCs w:val="0"/>
          <w:sz w:val="32"/>
          <w:szCs w:val="32"/>
        </w:rPr>
      </w:pPr>
      <w:r>
        <w:rPr>
          <w:rFonts w:hint="eastAsia" w:ascii="CESI仿宋-GB2312" w:hAnsi="CESI仿宋-GB2312" w:eastAsia="CESI仿宋-GB2312" w:cs="CESI仿宋-GB2312"/>
          <w:b w:val="0"/>
          <w:bCs w:val="0"/>
          <w:sz w:val="32"/>
          <w:szCs w:val="32"/>
        </w:rPr>
        <w:t xml:space="preserve"> 202</w:t>
      </w:r>
      <w:r>
        <w:rPr>
          <w:rFonts w:hint="eastAsia" w:ascii="CESI仿宋-GB2312" w:hAnsi="CESI仿宋-GB2312" w:eastAsia="CESI仿宋-GB2312" w:cs="CESI仿宋-GB2312"/>
          <w:b w:val="0"/>
          <w:bCs w:val="0"/>
          <w:sz w:val="32"/>
          <w:szCs w:val="32"/>
          <w:lang w:val="en-US" w:eastAsia="zh-CN"/>
        </w:rPr>
        <w:t>4</w:t>
      </w:r>
      <w:r>
        <w:rPr>
          <w:rFonts w:hint="eastAsia" w:ascii="CESI仿宋-GB2312" w:hAnsi="CESI仿宋-GB2312" w:eastAsia="CESI仿宋-GB2312" w:cs="CESI仿宋-GB2312"/>
          <w:b w:val="0"/>
          <w:bCs w:val="0"/>
          <w:sz w:val="32"/>
          <w:szCs w:val="32"/>
        </w:rPr>
        <w:t>年</w:t>
      </w:r>
      <w:r>
        <w:rPr>
          <w:rFonts w:hint="eastAsia" w:ascii="CESI仿宋-GB2312" w:hAnsi="CESI仿宋-GB2312" w:eastAsia="CESI仿宋-GB2312" w:cs="CESI仿宋-GB2312"/>
          <w:b w:val="0"/>
          <w:bCs w:val="0"/>
          <w:sz w:val="32"/>
          <w:szCs w:val="32"/>
          <w:lang w:val="en-US" w:eastAsia="zh-CN"/>
        </w:rPr>
        <w:t>3</w:t>
      </w:r>
      <w:r>
        <w:rPr>
          <w:rFonts w:hint="eastAsia" w:ascii="CESI仿宋-GB2312" w:hAnsi="CESI仿宋-GB2312" w:eastAsia="CESI仿宋-GB2312" w:cs="CESI仿宋-GB2312"/>
          <w:b w:val="0"/>
          <w:bCs w:val="0"/>
          <w:sz w:val="32"/>
          <w:szCs w:val="32"/>
        </w:rPr>
        <w:t>月</w:t>
      </w:r>
      <w:r>
        <w:rPr>
          <w:rFonts w:hint="eastAsia" w:ascii="CESI仿宋-GB2312" w:hAnsi="CESI仿宋-GB2312" w:eastAsia="CESI仿宋-GB2312" w:cs="CESI仿宋-GB2312"/>
          <w:b w:val="0"/>
          <w:bCs w:val="0"/>
          <w:sz w:val="32"/>
          <w:szCs w:val="32"/>
          <w:lang w:val="en-US" w:eastAsia="zh-CN"/>
        </w:rPr>
        <w:t>26</w:t>
      </w:r>
      <w:r>
        <w:rPr>
          <w:rFonts w:hint="eastAsia" w:ascii="CESI仿宋-GB2312" w:hAnsi="CESI仿宋-GB2312" w:eastAsia="CESI仿宋-GB2312" w:cs="CESI仿宋-GB2312"/>
          <w:b w:val="0"/>
          <w:bCs w:val="0"/>
          <w:sz w:val="32"/>
          <w:szCs w:val="32"/>
        </w:rPr>
        <w:t>日</w:t>
      </w:r>
    </w:p>
    <w:p>
      <w:pPr>
        <w:pStyle w:val="2"/>
        <w:rPr>
          <w:rFonts w:hint="eastAsia"/>
        </w:rPr>
      </w:pPr>
      <w:bookmarkStart w:id="0" w:name="_GoBack"/>
      <w:bookmarkEnd w:id="0"/>
    </w:p>
    <w:p>
      <w:pPr>
        <w:rPr>
          <w:rFonts w:hint="eastAsia"/>
        </w:rPr>
      </w:pPr>
    </w:p>
    <w:p>
      <w:pPr>
        <w:spacing w:line="520" w:lineRule="exact"/>
        <w:ind w:firstLine="320" w:firstLineChars="100"/>
        <w:rPr>
          <w:rFonts w:hint="eastAsia" w:ascii="CESI仿宋-GB2312" w:hAnsi="CESI仿宋-GB2312" w:eastAsia="CESI仿宋-GB2312" w:cs="CESI仿宋-GB2312"/>
          <w:color w:val="000000"/>
          <w:sz w:val="32"/>
          <w:szCs w:val="32"/>
        </w:rPr>
      </w:pPr>
      <w:r>
        <w:rPr>
          <w:rFonts w:hint="eastAsia" w:ascii="CESI仿宋-GB2312" w:hAnsi="CESI仿宋-GB2312" w:eastAsia="CESI仿宋-GB2312" w:cs="CESI仿宋-GB2312"/>
          <w:sz w:val="32"/>
          <w:szCs w:val="32"/>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389255</wp:posOffset>
                </wp:positionV>
                <wp:extent cx="516255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pt;margin-top:30.65pt;height:0.05pt;width:406.5pt;z-index:251660288;mso-width-relative:page;mso-height-relative:page;" filled="f" stroked="t" coordsize="21600,21600" o:gfxdata="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Np9cFbUAAAABwEAAA8AAAAAAAAAAQAgAAAA&#10;OAAAAGRycy9kb3ducmV2LnhtbFBLAQIUABQAAAAIAIdO4kBlOlQU+QEAAPQDAAAOAAAAAAAAAAEA&#10;IAAAADkBAABkcnMvZTJvRG9jLnhtbFBLBQYAAAAABgAGAFkBAACkBQAAAAA=&#10;">
                <v:fill on="f" focussize="0,0"/>
                <v:stroke color="#000000" joinstyle="round"/>
                <v:imagedata o:title=""/>
                <o:lock v:ext="edit" aspectratio="f"/>
              </v:line>
            </w:pict>
          </mc:Fallback>
        </mc:AlternateContent>
      </w:r>
      <w:r>
        <w:rPr>
          <w:rFonts w:hint="eastAsia" w:ascii="CESI仿宋-GB2312" w:hAnsi="CESI仿宋-GB2312" w:eastAsia="CESI仿宋-GB2312" w:cs="CESI仿宋-GB2312"/>
          <w:sz w:val="32"/>
          <w:szCs w:val="32"/>
        </w:rPr>
        <mc:AlternateContent>
          <mc:Choice Requires="wps">
            <w:drawing>
              <wp:anchor distT="0" distB="0" distL="114300" distR="114300" simplePos="0" relativeHeight="251662336" behindDoc="0" locked="0" layoutInCell="1" allowOverlap="1">
                <wp:simplePos x="0" y="0"/>
                <wp:positionH relativeFrom="column">
                  <wp:posOffset>19685</wp:posOffset>
                </wp:positionH>
                <wp:positionV relativeFrom="paragraph">
                  <wp:posOffset>41910</wp:posOffset>
                </wp:positionV>
                <wp:extent cx="516255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5pt;margin-top:3.3pt;height:0.05pt;width:406.5pt;z-index:251662336;mso-width-relative:page;mso-height-relative:page;" filled="f" stroked="t" coordsize="21600,21600" o:gfxdata="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BzwGjd0gAAAAUBAAAPAAAAAAAAAAEAIAAAADgA&#10;AABkcnMvZG93bnJldi54bWxQSwECFAAUAAAACACHTuJAZcx/HPkBAAD0AwAADgAAAAAAAAABACAA&#10;AAA3AQAAZHJzL2Uyb0RvYy54bWxQSwUGAAAAAAYABgBZAQAAogUAAAAA&#10;">
                <v:fill on="f" focussize="0,0"/>
                <v:stroke color="#000000" joinstyle="round"/>
                <v:imagedata o:title=""/>
                <o:lock v:ext="edit" aspectratio="f"/>
              </v:line>
            </w:pict>
          </mc:Fallback>
        </mc:AlternateContent>
      </w:r>
      <w:r>
        <w:rPr>
          <w:rFonts w:hint="eastAsia" w:ascii="CESI仿宋-GB2312" w:hAnsi="CESI仿宋-GB2312" w:eastAsia="CESI仿宋-GB2312" w:cs="CESI仿宋-GB2312"/>
          <w:sz w:val="32"/>
          <w:szCs w:val="32"/>
        </w:rPr>
        <w:t>抄送：榆林市生态环境保护综合执法支队榆阳直属大队</w:t>
      </w:r>
    </w:p>
    <w:p>
      <w:pPr>
        <w:pStyle w:val="4"/>
        <w:tabs>
          <w:tab w:val="left" w:pos="420"/>
        </w:tabs>
        <w:snapToGrid/>
        <w:ind w:firstLine="320" w:firstLineChars="100"/>
        <w:jc w:val="both"/>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榆林市生态环境局榆阳分局</w:t>
      </w:r>
      <w:r>
        <w:rPr>
          <w:rFonts w:hint="eastAsia" w:ascii="CESI仿宋-GB2312" w:hAnsi="CESI仿宋-GB2312" w:eastAsia="CESI仿宋-GB2312" w:cs="CESI仿宋-GB2312"/>
          <w:color w:val="0000FF"/>
          <w:sz w:val="32"/>
          <w:szCs w:val="32"/>
        </w:rPr>
        <mc:AlternateContent>
          <mc:Choice Requires="wps">
            <w:drawing>
              <wp:anchor distT="0" distB="0" distL="114300" distR="114300" simplePos="0" relativeHeight="251661312" behindDoc="0" locked="0" layoutInCell="1" allowOverlap="1">
                <wp:simplePos x="0" y="0"/>
                <wp:positionH relativeFrom="column">
                  <wp:posOffset>48260</wp:posOffset>
                </wp:positionH>
                <wp:positionV relativeFrom="paragraph">
                  <wp:posOffset>368300</wp:posOffset>
                </wp:positionV>
                <wp:extent cx="516255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8pt;margin-top:29pt;height:0.05pt;width:406.5pt;z-index:251661312;mso-width-relative:page;mso-height-relative:page;" filled="f" stroked="t" coordsize="21600,21600" o:gfxdata="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JbjMANQAAAAHAQAADwAAAAAAAAABACAA&#10;AAA4AAAAZHJzL2Rvd25yZXYueG1sUEsBAhQAFAAAAAgAh07iQGX4hyz7AQAA9AMAAA4AAAAAAAAA&#10;AQAgAAAAOQEAAGRycy9lMm9Eb2MueG1sUEsFBgAAAAAGAAYAWQEAAKYFAAAAAA==&#10;">
                <v:fill on="f" focussize="0,0"/>
                <v:stroke color="#000000" joinstyle="round"/>
                <v:imagedata o:title=""/>
                <o:lock v:ext="edit" aspectratio="f"/>
              </v:line>
            </w:pict>
          </mc:Fallback>
        </mc:AlternateContent>
      </w:r>
      <w:r>
        <w:rPr>
          <w:rFonts w:hint="eastAsia" w:ascii="CESI仿宋-GB2312" w:hAnsi="CESI仿宋-GB2312" w:eastAsia="CESI仿宋-GB2312" w:cs="CESI仿宋-GB2312"/>
          <w:sz w:val="32"/>
          <w:szCs w:val="32"/>
        </w:rPr>
        <w:t xml:space="preserve"> </w:t>
      </w: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202</w:t>
      </w:r>
      <w:r>
        <w:rPr>
          <w:rFonts w:hint="eastAsia" w:ascii="CESI仿宋-GB2312" w:hAnsi="CESI仿宋-GB2312" w:eastAsia="CESI仿宋-GB2312" w:cs="CESI仿宋-GB2312"/>
          <w:sz w:val="32"/>
          <w:szCs w:val="32"/>
          <w:lang w:val="en-US" w:eastAsia="zh-CN"/>
        </w:rPr>
        <w:t>4</w:t>
      </w:r>
      <w:r>
        <w:rPr>
          <w:rFonts w:hint="eastAsia" w:ascii="CESI仿宋-GB2312" w:hAnsi="CESI仿宋-GB2312" w:eastAsia="CESI仿宋-GB2312" w:cs="CESI仿宋-GB2312"/>
          <w:sz w:val="32"/>
          <w:szCs w:val="32"/>
        </w:rPr>
        <w:t>年</w:t>
      </w:r>
      <w:r>
        <w:rPr>
          <w:rFonts w:hint="eastAsia" w:ascii="CESI仿宋-GB2312" w:hAnsi="CESI仿宋-GB2312" w:eastAsia="CESI仿宋-GB2312" w:cs="CESI仿宋-GB2312"/>
          <w:sz w:val="32"/>
          <w:szCs w:val="32"/>
          <w:lang w:val="en-US" w:eastAsia="zh-CN"/>
        </w:rPr>
        <w:t>3</w:t>
      </w:r>
      <w:r>
        <w:rPr>
          <w:rFonts w:hint="eastAsia" w:ascii="CESI仿宋-GB2312" w:hAnsi="CESI仿宋-GB2312" w:eastAsia="CESI仿宋-GB2312" w:cs="CESI仿宋-GB2312"/>
          <w:sz w:val="32"/>
          <w:szCs w:val="32"/>
        </w:rPr>
        <w:t>月</w:t>
      </w:r>
      <w:r>
        <w:rPr>
          <w:rFonts w:hint="eastAsia" w:ascii="CESI仿宋-GB2312" w:hAnsi="CESI仿宋-GB2312" w:eastAsia="CESI仿宋-GB2312" w:cs="CESI仿宋-GB2312"/>
          <w:sz w:val="32"/>
          <w:szCs w:val="32"/>
          <w:lang w:val="en-US" w:eastAsia="zh-CN"/>
        </w:rPr>
        <w:t>26</w:t>
      </w:r>
      <w:r>
        <w:rPr>
          <w:rFonts w:hint="eastAsia" w:ascii="CESI仿宋-GB2312" w:hAnsi="CESI仿宋-GB2312" w:eastAsia="CESI仿宋-GB2312" w:cs="CESI仿宋-GB2312"/>
          <w:sz w:val="32"/>
          <w:szCs w:val="32"/>
        </w:rPr>
        <w:t>日印发</w:t>
      </w:r>
    </w:p>
    <w:p>
      <w:pPr>
        <w:spacing w:line="520" w:lineRule="exact"/>
        <w:jc w:val="right"/>
      </w:pPr>
      <w:r>
        <w:rPr>
          <w:rFonts w:hint="eastAsia" w:ascii="CESI仿宋-GB2312" w:hAnsi="CESI仿宋-GB2312" w:eastAsia="CESI仿宋-GB2312" w:cs="CESI仿宋-GB2312"/>
          <w:sz w:val="32"/>
          <w:szCs w:val="32"/>
        </w:rPr>
        <w:t>共印5</w:t>
      </w:r>
      <w:r>
        <w:rPr>
          <w:rFonts w:hint="eastAsia" w:ascii="仿宋" w:hAnsi="仿宋" w:eastAsia="仿宋" w:cs="仿宋"/>
          <w:sz w:val="28"/>
          <w:szCs w:val="28"/>
        </w:rPr>
        <w:t>份</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华文行楷">
    <w:panose1 w:val="02010800040101010101"/>
    <w:charset w:val="86"/>
    <w:family w:val="auto"/>
    <w:pitch w:val="default"/>
    <w:sig w:usb0="00000001" w:usb1="080F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auto"/>
    <w:pitch w:val="default"/>
    <w:sig w:usb0="00000000" w:usb1="00000000" w:usb2="00000016" w:usb3="00000000" w:csb0="0004001F" w:csb1="00000000"/>
  </w:font>
  <w:font w:name="仿宋">
    <w:altName w:val="宋体"/>
    <w:panose1 w:val="02010609060101010101"/>
    <w:charset w:val="86"/>
    <w:family w:val="auto"/>
    <w:pitch w:val="default"/>
    <w:sig w:usb0="00000000" w:usb1="00000000" w:usb2="00000016" w:usb3="00000000" w:csb0="00040001" w:csb1="00000000"/>
  </w:font>
  <w:font w:name="CESI仿宋-GB2312">
    <w:panose1 w:val="02000500000000000000"/>
    <w:charset w:val="86"/>
    <w:family w:val="auto"/>
    <w:pitch w:val="default"/>
    <w:sig w:usb0="800002AF" w:usb1="084F6CF8"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AB1EFB"/>
    <w:multiLevelType w:val="singleLevel"/>
    <w:tmpl w:val="31AB1EFB"/>
    <w:lvl w:ilvl="0" w:tentative="0">
      <w:start w:val="1"/>
      <w:numFmt w:val="bullet"/>
      <w:pStyle w:val="8"/>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4ZmZlMTJmODg1MjIwNmFmMjQyNTZmMmY3MGRkODAifQ=="/>
  </w:docVars>
  <w:rsids>
    <w:rsidRoot w:val="3FCE6D36"/>
    <w:rsid w:val="00046A8F"/>
    <w:rsid w:val="000834E5"/>
    <w:rsid w:val="001644D2"/>
    <w:rsid w:val="00222899"/>
    <w:rsid w:val="00320888"/>
    <w:rsid w:val="003A3E09"/>
    <w:rsid w:val="005767E2"/>
    <w:rsid w:val="005C0C39"/>
    <w:rsid w:val="005E74E0"/>
    <w:rsid w:val="00604945"/>
    <w:rsid w:val="006B7BE3"/>
    <w:rsid w:val="006C2A4D"/>
    <w:rsid w:val="007D4376"/>
    <w:rsid w:val="009258B7"/>
    <w:rsid w:val="00AF2A1A"/>
    <w:rsid w:val="00CF0ED4"/>
    <w:rsid w:val="00D55459"/>
    <w:rsid w:val="00D77326"/>
    <w:rsid w:val="00DE4B87"/>
    <w:rsid w:val="00FA5940"/>
    <w:rsid w:val="01846205"/>
    <w:rsid w:val="027128A9"/>
    <w:rsid w:val="02762657"/>
    <w:rsid w:val="02D10796"/>
    <w:rsid w:val="05157BA2"/>
    <w:rsid w:val="054576DA"/>
    <w:rsid w:val="06225867"/>
    <w:rsid w:val="06440F1E"/>
    <w:rsid w:val="07087E43"/>
    <w:rsid w:val="08F858F6"/>
    <w:rsid w:val="090D7952"/>
    <w:rsid w:val="0BE1258C"/>
    <w:rsid w:val="0F68363C"/>
    <w:rsid w:val="0FB21CAF"/>
    <w:rsid w:val="100734E2"/>
    <w:rsid w:val="1021389E"/>
    <w:rsid w:val="121323EB"/>
    <w:rsid w:val="12582E7C"/>
    <w:rsid w:val="148664AA"/>
    <w:rsid w:val="15317543"/>
    <w:rsid w:val="15747FCD"/>
    <w:rsid w:val="16033E62"/>
    <w:rsid w:val="16E37E42"/>
    <w:rsid w:val="174C2E90"/>
    <w:rsid w:val="17A3384D"/>
    <w:rsid w:val="191F708A"/>
    <w:rsid w:val="1AD53FB8"/>
    <w:rsid w:val="1AFF1A05"/>
    <w:rsid w:val="1BCE435E"/>
    <w:rsid w:val="1C0A6C76"/>
    <w:rsid w:val="1D90382E"/>
    <w:rsid w:val="1EAC32F3"/>
    <w:rsid w:val="227B0954"/>
    <w:rsid w:val="22F81725"/>
    <w:rsid w:val="24A24B56"/>
    <w:rsid w:val="252151DF"/>
    <w:rsid w:val="25373817"/>
    <w:rsid w:val="26B25956"/>
    <w:rsid w:val="274600EC"/>
    <w:rsid w:val="282138A4"/>
    <w:rsid w:val="2885177C"/>
    <w:rsid w:val="29350EED"/>
    <w:rsid w:val="2A2B2543"/>
    <w:rsid w:val="2AFB5F75"/>
    <w:rsid w:val="2B3C213F"/>
    <w:rsid w:val="2C16648F"/>
    <w:rsid w:val="2EAA4A5C"/>
    <w:rsid w:val="30635A8F"/>
    <w:rsid w:val="30EF11F7"/>
    <w:rsid w:val="31880ABD"/>
    <w:rsid w:val="31F7394E"/>
    <w:rsid w:val="336A2CE3"/>
    <w:rsid w:val="340426AD"/>
    <w:rsid w:val="340E0088"/>
    <w:rsid w:val="349B6ECC"/>
    <w:rsid w:val="35EA50EA"/>
    <w:rsid w:val="375856AC"/>
    <w:rsid w:val="3783581A"/>
    <w:rsid w:val="388D6E5A"/>
    <w:rsid w:val="38994AB5"/>
    <w:rsid w:val="38BE750D"/>
    <w:rsid w:val="394702AF"/>
    <w:rsid w:val="394D186E"/>
    <w:rsid w:val="39C82443"/>
    <w:rsid w:val="3B0F7BD8"/>
    <w:rsid w:val="3BF7546C"/>
    <w:rsid w:val="3DB02392"/>
    <w:rsid w:val="3DC8166D"/>
    <w:rsid w:val="3E49257C"/>
    <w:rsid w:val="3FCE6D36"/>
    <w:rsid w:val="3FF11A12"/>
    <w:rsid w:val="40661CBD"/>
    <w:rsid w:val="40E40D01"/>
    <w:rsid w:val="41137295"/>
    <w:rsid w:val="41E9165F"/>
    <w:rsid w:val="437E794A"/>
    <w:rsid w:val="43934294"/>
    <w:rsid w:val="44C92622"/>
    <w:rsid w:val="463854BF"/>
    <w:rsid w:val="469C5E55"/>
    <w:rsid w:val="46AE19D2"/>
    <w:rsid w:val="47925F0D"/>
    <w:rsid w:val="49CF169A"/>
    <w:rsid w:val="4A9F53B5"/>
    <w:rsid w:val="4B691E6B"/>
    <w:rsid w:val="4B700C5B"/>
    <w:rsid w:val="4C6E370E"/>
    <w:rsid w:val="4CAB101B"/>
    <w:rsid w:val="4DAD76D9"/>
    <w:rsid w:val="4DF47666"/>
    <w:rsid w:val="4F190E23"/>
    <w:rsid w:val="4FA3638D"/>
    <w:rsid w:val="50193655"/>
    <w:rsid w:val="5115563D"/>
    <w:rsid w:val="54C75DA9"/>
    <w:rsid w:val="556D1CB9"/>
    <w:rsid w:val="55A30256"/>
    <w:rsid w:val="55C87BD0"/>
    <w:rsid w:val="571406EC"/>
    <w:rsid w:val="58B10013"/>
    <w:rsid w:val="59924CB6"/>
    <w:rsid w:val="5B893C5E"/>
    <w:rsid w:val="5C5F5338"/>
    <w:rsid w:val="5CFB4967"/>
    <w:rsid w:val="5E4C22F1"/>
    <w:rsid w:val="5E7D6F53"/>
    <w:rsid w:val="5E9E484A"/>
    <w:rsid w:val="61164C9A"/>
    <w:rsid w:val="61BA27D8"/>
    <w:rsid w:val="623A7BF5"/>
    <w:rsid w:val="63AA740A"/>
    <w:rsid w:val="63F93351"/>
    <w:rsid w:val="64A92425"/>
    <w:rsid w:val="655A5678"/>
    <w:rsid w:val="656960A7"/>
    <w:rsid w:val="657131FA"/>
    <w:rsid w:val="676F198B"/>
    <w:rsid w:val="67973CDE"/>
    <w:rsid w:val="67EB5C4D"/>
    <w:rsid w:val="685F1E70"/>
    <w:rsid w:val="689931E6"/>
    <w:rsid w:val="68AF296B"/>
    <w:rsid w:val="68CE783A"/>
    <w:rsid w:val="697661C8"/>
    <w:rsid w:val="6A581E1B"/>
    <w:rsid w:val="6A831188"/>
    <w:rsid w:val="6ACF0A20"/>
    <w:rsid w:val="6C6658B0"/>
    <w:rsid w:val="6CE41B63"/>
    <w:rsid w:val="6ED70751"/>
    <w:rsid w:val="709F6020"/>
    <w:rsid w:val="70E27414"/>
    <w:rsid w:val="731E50CD"/>
    <w:rsid w:val="73651791"/>
    <w:rsid w:val="7530523D"/>
    <w:rsid w:val="75E627F8"/>
    <w:rsid w:val="76432E15"/>
    <w:rsid w:val="77C45C42"/>
    <w:rsid w:val="7836409D"/>
    <w:rsid w:val="791D0C1E"/>
    <w:rsid w:val="79401FEE"/>
    <w:rsid w:val="797A6A67"/>
    <w:rsid w:val="79B43B2B"/>
    <w:rsid w:val="7ABACCDE"/>
    <w:rsid w:val="7B59528D"/>
    <w:rsid w:val="7C10356E"/>
    <w:rsid w:val="7C7F1AC0"/>
    <w:rsid w:val="7F454FCD"/>
    <w:rsid w:val="7F7F01A6"/>
    <w:rsid w:val="7F882DBB"/>
    <w:rsid w:val="F8EFDC03"/>
    <w:rsid w:val="FFDBB1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10">
    <w:name w:val="heading 2"/>
    <w:basedOn w:val="1"/>
    <w:next w:val="1"/>
    <w:qFormat/>
    <w:uiPriority w:val="0"/>
    <w:pPr>
      <w:keepNext/>
      <w:keepLines/>
      <w:spacing w:beforeLines="50" w:line="360" w:lineRule="auto"/>
      <w:outlineLvl w:val="1"/>
    </w:pPr>
    <w:rPr>
      <w:rFonts w:ascii="Times New Roman" w:hAnsi="Times New Roman" w:eastAsia="宋体"/>
      <w:b/>
      <w:bCs/>
      <w:sz w:val="28"/>
      <w:szCs w:val="28"/>
    </w:rPr>
  </w:style>
  <w:style w:type="paragraph" w:styleId="11">
    <w:name w:val="heading 3"/>
    <w:basedOn w:val="1"/>
    <w:next w:val="1"/>
    <w:link w:val="21"/>
    <w:unhideWhenUsed/>
    <w:qFormat/>
    <w:uiPriority w:val="0"/>
    <w:pPr>
      <w:keepNext/>
      <w:keepLines/>
      <w:spacing w:before="260" w:after="260" w:line="416" w:lineRule="auto"/>
      <w:outlineLvl w:val="2"/>
    </w:pPr>
    <w:rPr>
      <w:b/>
      <w:bCs/>
      <w:sz w:val="32"/>
      <w:szCs w:val="32"/>
    </w:rPr>
  </w:style>
  <w:style w:type="paragraph" w:styleId="12">
    <w:name w:val="heading 4"/>
    <w:basedOn w:val="1"/>
    <w:next w:val="1"/>
    <w:qFormat/>
    <w:uiPriority w:val="9"/>
    <w:pPr>
      <w:keepNext/>
      <w:keepLines/>
      <w:spacing w:before="280" w:after="290" w:line="376" w:lineRule="auto"/>
      <w:outlineLvl w:val="3"/>
    </w:pPr>
    <w:rPr>
      <w:rFonts w:ascii="Cambria" w:hAnsi="Cambria"/>
      <w:b/>
      <w:bCs/>
      <w:sz w:val="28"/>
      <w:szCs w:val="28"/>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21"/>
    <w:basedOn w:val="3"/>
    <w:next w:val="9"/>
    <w:qFormat/>
    <w:uiPriority w:val="0"/>
    <w:pPr>
      <w:spacing w:after="120" w:line="240" w:lineRule="auto"/>
      <w:ind w:left="420" w:leftChars="200" w:firstLine="420"/>
    </w:pPr>
    <w:rPr>
      <w:rFonts w:eastAsia="Calibri"/>
      <w:kern w:val="0"/>
      <w:sz w:val="22"/>
      <w:lang w:val="zh-CN" w:eastAsia="en-US"/>
    </w:rPr>
  </w:style>
  <w:style w:type="paragraph" w:styleId="3">
    <w:name w:val="Body Text Indent"/>
    <w:basedOn w:val="1"/>
    <w:next w:val="4"/>
    <w:qFormat/>
    <w:uiPriority w:val="0"/>
    <w:pPr>
      <w:spacing w:line="360" w:lineRule="auto"/>
      <w:ind w:firstLine="480" w:firstLineChars="200"/>
    </w:pPr>
    <w:rPr>
      <w:rFonts w:ascii="宋体" w:hAnsi="宋体"/>
      <w:color w:val="008000"/>
      <w:sz w:val="24"/>
    </w:rPr>
  </w:style>
  <w:style w:type="paragraph" w:styleId="4">
    <w:name w:val="header"/>
    <w:basedOn w:val="1"/>
    <w:next w:val="5"/>
    <w:qFormat/>
    <w:uiPriority w:val="0"/>
    <w:pPr>
      <w:tabs>
        <w:tab w:val="center" w:pos="4153"/>
        <w:tab w:val="right" w:pos="8306"/>
      </w:tabs>
      <w:snapToGrid w:val="0"/>
      <w:jc w:val="center"/>
    </w:pPr>
    <w:rPr>
      <w:rFonts w:ascii="宋体" w:hAnsi="宋体"/>
      <w:sz w:val="18"/>
      <w:szCs w:val="26"/>
    </w:rPr>
  </w:style>
  <w:style w:type="paragraph" w:customStyle="1" w:styleId="5">
    <w:name w:val="样式5"/>
    <w:basedOn w:val="6"/>
    <w:qFormat/>
    <w:uiPriority w:val="0"/>
    <w:pPr>
      <w:spacing w:line="380" w:lineRule="exact"/>
      <w:ind w:firstLine="566" w:firstLineChars="202"/>
    </w:pPr>
    <w:rPr>
      <w:rFonts w:eastAsia="华文行楷"/>
      <w:sz w:val="28"/>
    </w:rPr>
  </w:style>
  <w:style w:type="paragraph" w:customStyle="1" w:styleId="6">
    <w:name w:val="样式3"/>
    <w:basedOn w:val="7"/>
    <w:qFormat/>
    <w:uiPriority w:val="0"/>
    <w:pPr>
      <w:jc w:val="center"/>
    </w:pPr>
    <w:rPr>
      <w:rFonts w:hAnsi="黑体" w:eastAsia="黑体"/>
      <w:color w:val="000000"/>
    </w:rPr>
  </w:style>
  <w:style w:type="paragraph" w:styleId="7">
    <w:name w:val="Body Text"/>
    <w:basedOn w:val="1"/>
    <w:next w:val="8"/>
    <w:qFormat/>
    <w:uiPriority w:val="0"/>
    <w:pPr>
      <w:adjustRightInd w:val="0"/>
      <w:spacing w:line="360" w:lineRule="auto"/>
      <w:ind w:firstLine="510"/>
      <w:textAlignment w:val="baseline"/>
    </w:pPr>
    <w:rPr>
      <w:rFonts w:ascii="宋体" w:hAnsi="宋体"/>
      <w:snapToGrid w:val="0"/>
      <w:spacing w:val="4"/>
      <w:kern w:val="18"/>
      <w:sz w:val="24"/>
      <w:szCs w:val="26"/>
    </w:rPr>
  </w:style>
  <w:style w:type="paragraph" w:styleId="8">
    <w:name w:val="List Bullet 5"/>
    <w:basedOn w:val="1"/>
    <w:qFormat/>
    <w:uiPriority w:val="0"/>
    <w:pPr>
      <w:numPr>
        <w:ilvl w:val="0"/>
        <w:numId w:val="1"/>
      </w:numPr>
    </w:pPr>
  </w:style>
  <w:style w:type="paragraph" w:customStyle="1" w:styleId="9">
    <w:name w:val="正文首行缩进1"/>
    <w:basedOn w:val="7"/>
    <w:qFormat/>
    <w:uiPriority w:val="0"/>
    <w:pPr>
      <w:spacing w:after="120" w:line="240" w:lineRule="auto"/>
      <w:ind w:right="0" w:firstLine="420" w:firstLineChars="100"/>
    </w:pPr>
  </w:style>
  <w:style w:type="paragraph" w:styleId="13">
    <w:name w:val="footer"/>
    <w:basedOn w:val="1"/>
    <w:link w:val="22"/>
    <w:qFormat/>
    <w:uiPriority w:val="0"/>
    <w:pPr>
      <w:tabs>
        <w:tab w:val="center" w:pos="4153"/>
        <w:tab w:val="right" w:pos="8306"/>
      </w:tabs>
      <w:snapToGrid w:val="0"/>
      <w:jc w:val="left"/>
    </w:pPr>
    <w:rPr>
      <w:sz w:val="18"/>
      <w:szCs w:val="18"/>
    </w:rPr>
  </w:style>
  <w:style w:type="paragraph" w:styleId="14">
    <w:name w:val="List"/>
    <w:basedOn w:val="1"/>
    <w:qFormat/>
    <w:uiPriority w:val="0"/>
    <w:pPr>
      <w:ind w:left="200" w:hanging="200" w:hangingChars="200"/>
    </w:pPr>
    <w:rPr>
      <w:lang w:val="en-US" w:eastAsia="zh-CN"/>
    </w:rPr>
  </w:style>
  <w:style w:type="paragraph" w:styleId="15">
    <w:name w:val="Normal (Web)"/>
    <w:basedOn w:val="1"/>
    <w:qFormat/>
    <w:uiPriority w:val="0"/>
    <w:pPr>
      <w:spacing w:beforeAutospacing="1" w:afterAutospacing="1"/>
      <w:jc w:val="left"/>
    </w:pPr>
    <w:rPr>
      <w:rFonts w:cs="Times New Roman"/>
      <w:kern w:val="0"/>
      <w:sz w:val="24"/>
    </w:rPr>
  </w:style>
  <w:style w:type="paragraph" w:styleId="16">
    <w:name w:val="Body Text First Indent"/>
    <w:basedOn w:val="7"/>
    <w:next w:val="17"/>
    <w:unhideWhenUsed/>
    <w:qFormat/>
    <w:uiPriority w:val="99"/>
    <w:pPr>
      <w:widowControl/>
      <w:snapToGrid w:val="0"/>
      <w:spacing w:after="120" w:line="240" w:lineRule="auto"/>
      <w:ind w:firstLine="420" w:firstLineChars="100"/>
      <w:jc w:val="left"/>
    </w:pPr>
    <w:rPr>
      <w:rFonts w:ascii="Tahoma" w:hAnsi="Tahoma" w:eastAsia="微软雅黑"/>
      <w:kern w:val="0"/>
      <w:sz w:val="22"/>
      <w:szCs w:val="22"/>
    </w:rPr>
  </w:style>
  <w:style w:type="paragraph" w:styleId="17">
    <w:name w:val="Body Text First Indent 2"/>
    <w:basedOn w:val="3"/>
    <w:next w:val="16"/>
    <w:unhideWhenUsed/>
    <w:qFormat/>
    <w:uiPriority w:val="99"/>
    <w:pPr>
      <w:ind w:firstLine="200"/>
    </w:pPr>
  </w:style>
  <w:style w:type="paragraph" w:customStyle="1" w:styleId="20">
    <w:name w:val="样式4"/>
    <w:basedOn w:val="12"/>
    <w:qFormat/>
    <w:uiPriority w:val="0"/>
    <w:pPr>
      <w:widowControl/>
      <w:spacing w:before="0" w:after="0" w:line="360" w:lineRule="auto"/>
    </w:pPr>
    <w:rPr>
      <w:rFonts w:ascii="宋体" w:hAnsi="宋体"/>
      <w:b w:val="0"/>
      <w:kern w:val="0"/>
      <w:sz w:val="24"/>
      <w:szCs w:val="24"/>
    </w:rPr>
  </w:style>
  <w:style w:type="character" w:customStyle="1" w:styleId="21">
    <w:name w:val="标题 3 Char"/>
    <w:link w:val="11"/>
    <w:qFormat/>
    <w:uiPriority w:val="0"/>
    <w:rPr>
      <w:b/>
      <w:bCs/>
      <w:sz w:val="32"/>
      <w:szCs w:val="32"/>
    </w:rPr>
  </w:style>
  <w:style w:type="character" w:customStyle="1" w:styleId="22">
    <w:name w:val="页脚 Char"/>
    <w:basedOn w:val="19"/>
    <w:link w:val="1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1348</Words>
  <Characters>1379</Characters>
  <Lines>1</Lines>
  <Paragraphs>2</Paragraphs>
  <TotalTime>6</TotalTime>
  <ScaleCrop>false</ScaleCrop>
  <LinksUpToDate>false</LinksUpToDate>
  <CharactersWithSpaces>1414</CharactersWithSpaces>
  <Application>WPS Office_11.8.2.1130_F1E327BC-269C-435d-A152-05C5408002CA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2018-12-26T10:50:00Z</dcterms:created>
  <dc:creator>Administrator</dc:creator>
  <cp:lastModifiedBy>liuni</cp:lastModifiedBy>
  <cp:lastPrinted>2023-09-14T09:45:00Z</cp:lastPrinted>
  <dcterms:modified xsi:type="dcterms:W3CDTF">2024-03-27T16:11:11Z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2052-11.8.2.1130</vt:lpwstr>
  </property>
  <property fmtid="{D5CDD505-2E9C-101B-9397-08002B2CF9AE}" pid="3" name="ICV">
    <vt:lpwstr>D4B8646309684CBABD39B8449785C90B_13</vt:lpwstr>
  </property>
</Properties>
</file>