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2024〕22号</w:t>
      </w:r>
    </w:p>
    <w:p>
      <w:pPr>
        <w:spacing w:line="550" w:lineRule="exact"/>
        <w:ind w:right="-198"/>
        <w:jc w:val="center"/>
        <w:rPr>
          <w:rFonts w:hint="eastAsia"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0" w:lineRule="atLeas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关于补浪河乡G242至曹家峁和治沙连至拐沟水库农村道路改建项目环境影响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报告表的批复</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20" w:lineRule="exact"/>
        <w:ind w:right="-198"/>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榆阳区补浪河乡人民政府：</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你单位报送的《补浪河乡G242至曹家峁和治沙连至拐沟水库农村道路改建项目环境影响报告表》</w:t>
      </w:r>
      <w:r>
        <w:rPr>
          <w:rFonts w:hint="eastAsia" w:ascii="CESI仿宋-GB2312" w:hAnsi="CESI仿宋-GB2312" w:eastAsia="CESI仿宋-GB2312" w:cs="CESI仿宋-GB2312"/>
          <w:sz w:val="32"/>
          <w:szCs w:val="32"/>
          <w:lang w:eastAsia="zh-CN"/>
        </w:rPr>
        <w:t>及相关资料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kinsoku/>
        <w:wordWrap/>
        <w:overflowPunct/>
        <w:topLinePunct w:val="0"/>
        <w:autoSpaceDE/>
        <w:autoSpaceDN/>
        <w:bidi w:val="0"/>
        <w:adjustRightInd/>
        <w:snapToGrid/>
        <w:spacing w:line="520" w:lineRule="exact"/>
        <w:ind w:right="-198"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kern w:val="0"/>
          <w:sz w:val="32"/>
          <w:szCs w:val="32"/>
          <w:lang w:val="en-US" w:eastAsia="zh-CN" w:bidi="ar-SA"/>
        </w:rPr>
        <w:t>项目位于陕西省榆林市榆阳区补浪河乡，</w:t>
      </w:r>
      <w:r>
        <w:rPr>
          <w:rFonts w:hint="default" w:ascii="CESI仿宋-GB2312" w:hAnsi="CESI仿宋-GB2312" w:eastAsia="CESI仿宋-GB2312" w:cs="CESI仿宋-GB2312"/>
          <w:kern w:val="0"/>
          <w:sz w:val="32"/>
          <w:szCs w:val="32"/>
          <w:lang w:val="en-US" w:eastAsia="zh-CN" w:bidi="ar-SA"/>
        </w:rPr>
        <w:t>G242</w:t>
      </w:r>
      <w:r>
        <w:rPr>
          <w:rFonts w:hint="eastAsia" w:ascii="CESI仿宋-GB2312" w:hAnsi="CESI仿宋-GB2312" w:eastAsia="CESI仿宋-GB2312" w:cs="CESI仿宋-GB2312"/>
          <w:kern w:val="0"/>
          <w:sz w:val="32"/>
          <w:szCs w:val="32"/>
          <w:lang w:val="en-US" w:eastAsia="zh-CN" w:bidi="ar-SA"/>
        </w:rPr>
        <w:t>至曹家峁农村道路项目路线全长</w:t>
      </w:r>
      <w:r>
        <w:rPr>
          <w:rFonts w:hint="default" w:ascii="CESI仿宋-GB2312" w:hAnsi="CESI仿宋-GB2312" w:eastAsia="CESI仿宋-GB2312" w:cs="CESI仿宋-GB2312"/>
          <w:kern w:val="0"/>
          <w:sz w:val="32"/>
          <w:szCs w:val="32"/>
          <w:lang w:val="en-US" w:eastAsia="zh-CN" w:bidi="ar-SA"/>
        </w:rPr>
        <w:t>6.779km</w:t>
      </w:r>
      <w:r>
        <w:rPr>
          <w:rFonts w:hint="eastAsia" w:ascii="CESI仿宋-GB2312" w:hAnsi="CESI仿宋-GB2312" w:eastAsia="CESI仿宋-GB2312" w:cs="CESI仿宋-GB2312"/>
          <w:kern w:val="0"/>
          <w:sz w:val="32"/>
          <w:szCs w:val="32"/>
          <w:lang w:val="en-US" w:eastAsia="zh-CN" w:bidi="ar-SA"/>
        </w:rPr>
        <w:t>，治沙连至拐沟水库农村道路路线全长约</w:t>
      </w:r>
      <w:r>
        <w:rPr>
          <w:rFonts w:hint="default" w:ascii="CESI仿宋-GB2312" w:hAnsi="CESI仿宋-GB2312" w:eastAsia="CESI仿宋-GB2312" w:cs="CESI仿宋-GB2312"/>
          <w:kern w:val="0"/>
          <w:sz w:val="32"/>
          <w:szCs w:val="32"/>
          <w:lang w:val="en-US" w:eastAsia="zh-CN" w:bidi="ar-SA"/>
        </w:rPr>
        <w:t>5.464km,</w:t>
      </w:r>
      <w:r>
        <w:rPr>
          <w:rFonts w:hint="eastAsia" w:ascii="CESI仿宋-GB2312" w:hAnsi="CESI仿宋-GB2312" w:eastAsia="CESI仿宋-GB2312" w:cs="CESI仿宋-GB2312"/>
          <w:kern w:val="0"/>
          <w:sz w:val="32"/>
          <w:szCs w:val="32"/>
          <w:lang w:val="en-US" w:eastAsia="zh-CN" w:bidi="ar-SA"/>
        </w:rPr>
        <w:t>项目</w:t>
      </w:r>
      <w:r>
        <w:rPr>
          <w:rFonts w:hint="default" w:ascii="CESI仿宋-GB2312" w:hAnsi="CESI仿宋-GB2312" w:eastAsia="CESI仿宋-GB2312" w:cs="CESI仿宋-GB2312"/>
          <w:kern w:val="0"/>
          <w:sz w:val="32"/>
          <w:szCs w:val="32"/>
          <w:lang w:val="en-US" w:eastAsia="zh-CN" w:bidi="ar-SA"/>
        </w:rPr>
        <w:t>G242</w:t>
      </w:r>
      <w:r>
        <w:rPr>
          <w:rFonts w:hint="eastAsia" w:ascii="CESI仿宋-GB2312" w:hAnsi="CESI仿宋-GB2312" w:eastAsia="CESI仿宋-GB2312" w:cs="CESI仿宋-GB2312"/>
          <w:kern w:val="0"/>
          <w:sz w:val="32"/>
          <w:szCs w:val="32"/>
          <w:lang w:val="en-US" w:eastAsia="zh-CN" w:bidi="ar-SA"/>
        </w:rPr>
        <w:t>至曹家峁公路改建工程（</w:t>
      </w:r>
      <w:r>
        <w:rPr>
          <w:rFonts w:hint="default" w:ascii="CESI仿宋-GB2312" w:hAnsi="CESI仿宋-GB2312" w:eastAsia="CESI仿宋-GB2312" w:cs="CESI仿宋-GB2312"/>
          <w:kern w:val="0"/>
          <w:sz w:val="32"/>
          <w:szCs w:val="32"/>
          <w:lang w:val="en-US" w:eastAsia="zh-CN" w:bidi="ar-SA"/>
        </w:rPr>
        <w:t>K0+000-K6+778.733</w:t>
      </w:r>
      <w:r>
        <w:rPr>
          <w:rFonts w:hint="eastAsia" w:ascii="CESI仿宋-GB2312" w:hAnsi="CESI仿宋-GB2312" w:eastAsia="CESI仿宋-GB2312" w:cs="CESI仿宋-GB2312"/>
          <w:kern w:val="0"/>
          <w:sz w:val="32"/>
          <w:szCs w:val="32"/>
          <w:lang w:val="en-US" w:eastAsia="zh-CN" w:bidi="ar-SA"/>
        </w:rPr>
        <w:t>），路线起于省不扣村委会东侧，与国道</w:t>
      </w:r>
      <w:r>
        <w:rPr>
          <w:rFonts w:hint="default" w:ascii="CESI仿宋-GB2312" w:hAnsi="CESI仿宋-GB2312" w:eastAsia="CESI仿宋-GB2312" w:cs="CESI仿宋-GB2312"/>
          <w:kern w:val="0"/>
          <w:sz w:val="32"/>
          <w:szCs w:val="32"/>
          <w:lang w:val="en-US" w:eastAsia="zh-CN" w:bidi="ar-SA"/>
        </w:rPr>
        <w:t>242</w:t>
      </w:r>
      <w:bookmarkStart w:id="0" w:name="_GoBack"/>
      <w:bookmarkEnd w:id="0"/>
      <w:r>
        <w:rPr>
          <w:rFonts w:hint="eastAsia" w:ascii="CESI仿宋-GB2312" w:hAnsi="CESI仿宋-GB2312" w:eastAsia="CESI仿宋-GB2312" w:cs="CESI仿宋-GB2312"/>
          <w:kern w:val="0"/>
          <w:sz w:val="32"/>
          <w:szCs w:val="32"/>
          <w:lang w:val="en-US" w:eastAsia="zh-CN" w:bidi="ar-SA"/>
        </w:rPr>
        <w:t>平交，路线向西南方向，从治沙连东南侧通过，至路线终点曹家峁村。路线全长</w:t>
      </w:r>
      <w:r>
        <w:rPr>
          <w:rFonts w:hint="default" w:ascii="CESI仿宋-GB2312" w:hAnsi="CESI仿宋-GB2312" w:eastAsia="CESI仿宋-GB2312" w:cs="CESI仿宋-GB2312"/>
          <w:kern w:val="0"/>
          <w:sz w:val="32"/>
          <w:szCs w:val="32"/>
          <w:lang w:val="en-US" w:eastAsia="zh-CN" w:bidi="ar-SA"/>
        </w:rPr>
        <w:t>6.779</w:t>
      </w:r>
      <w:r>
        <w:rPr>
          <w:rFonts w:hint="eastAsia" w:ascii="CESI仿宋-GB2312" w:hAnsi="CESI仿宋-GB2312" w:eastAsia="CESI仿宋-GB2312" w:cs="CESI仿宋-GB2312"/>
          <w:kern w:val="0"/>
          <w:sz w:val="32"/>
          <w:szCs w:val="32"/>
          <w:lang w:val="en-US" w:eastAsia="zh-CN" w:bidi="ar-SA"/>
        </w:rPr>
        <w:t>公里；道路采用三级公路，设计时速</w:t>
      </w:r>
      <w:r>
        <w:rPr>
          <w:rFonts w:hint="default" w:ascii="CESI仿宋-GB2312" w:hAnsi="CESI仿宋-GB2312" w:eastAsia="CESI仿宋-GB2312" w:cs="CESI仿宋-GB2312"/>
          <w:kern w:val="0"/>
          <w:sz w:val="32"/>
          <w:szCs w:val="32"/>
          <w:lang w:val="en-US" w:eastAsia="zh-CN" w:bidi="ar-SA"/>
        </w:rPr>
        <w:t>30</w:t>
      </w:r>
      <w:r>
        <w:rPr>
          <w:rFonts w:hint="eastAsia" w:ascii="CESI仿宋-GB2312" w:hAnsi="CESI仿宋-GB2312" w:eastAsia="CESI仿宋-GB2312" w:cs="CESI仿宋-GB2312"/>
          <w:kern w:val="0"/>
          <w:sz w:val="32"/>
          <w:szCs w:val="32"/>
          <w:lang w:val="en-US" w:eastAsia="zh-CN" w:bidi="ar-SA"/>
        </w:rPr>
        <w:t>公里</w:t>
      </w:r>
      <w:r>
        <w:rPr>
          <w:rFonts w:hint="default" w:ascii="CESI仿宋-GB2312" w:hAnsi="CESI仿宋-GB2312" w:eastAsia="CESI仿宋-GB2312" w:cs="CESI仿宋-GB2312"/>
          <w:kern w:val="0"/>
          <w:sz w:val="32"/>
          <w:szCs w:val="32"/>
          <w:lang w:val="en-US" w:eastAsia="zh-CN" w:bidi="ar-SA"/>
        </w:rPr>
        <w:t>/</w:t>
      </w:r>
      <w:r>
        <w:rPr>
          <w:rFonts w:hint="eastAsia" w:ascii="CESI仿宋-GB2312" w:hAnsi="CESI仿宋-GB2312" w:eastAsia="CESI仿宋-GB2312" w:cs="CESI仿宋-GB2312"/>
          <w:kern w:val="0"/>
          <w:sz w:val="32"/>
          <w:szCs w:val="32"/>
          <w:lang w:val="en-US" w:eastAsia="zh-CN" w:bidi="ar-SA"/>
        </w:rPr>
        <w:t>小时，路基宽</w:t>
      </w:r>
      <w:r>
        <w:rPr>
          <w:rFonts w:hint="default" w:ascii="CESI仿宋-GB2312" w:hAnsi="CESI仿宋-GB2312" w:eastAsia="CESI仿宋-GB2312" w:cs="CESI仿宋-GB2312"/>
          <w:kern w:val="0"/>
          <w:sz w:val="32"/>
          <w:szCs w:val="32"/>
          <w:lang w:val="en-US" w:eastAsia="zh-CN" w:bidi="ar-SA"/>
        </w:rPr>
        <w:t>7.5m</w:t>
      </w:r>
      <w:r>
        <w:rPr>
          <w:rFonts w:hint="eastAsia" w:ascii="CESI仿宋-GB2312" w:hAnsi="CESI仿宋-GB2312" w:eastAsia="CESI仿宋-GB2312" w:cs="CESI仿宋-GB2312"/>
          <w:kern w:val="0"/>
          <w:sz w:val="32"/>
          <w:szCs w:val="32"/>
          <w:lang w:val="en-US" w:eastAsia="zh-CN" w:bidi="ar-SA"/>
        </w:rPr>
        <w:t>，沥青混凝土路面。荷载等级为</w:t>
      </w:r>
      <w:r>
        <w:rPr>
          <w:rFonts w:hint="default" w:ascii="CESI仿宋-GB2312" w:hAnsi="CESI仿宋-GB2312" w:eastAsia="CESI仿宋-GB2312" w:cs="CESI仿宋-GB2312"/>
          <w:kern w:val="0"/>
          <w:sz w:val="32"/>
          <w:szCs w:val="32"/>
          <w:lang w:val="en-US" w:eastAsia="zh-CN" w:bidi="ar-SA"/>
        </w:rPr>
        <w:t>II</w:t>
      </w:r>
      <w:r>
        <w:rPr>
          <w:rFonts w:hint="eastAsia" w:ascii="CESI仿宋-GB2312" w:hAnsi="CESI仿宋-GB2312" w:eastAsia="CESI仿宋-GB2312" w:cs="CESI仿宋-GB2312"/>
          <w:kern w:val="0"/>
          <w:sz w:val="32"/>
          <w:szCs w:val="32"/>
          <w:lang w:val="en-US" w:eastAsia="zh-CN" w:bidi="ar-SA"/>
        </w:rPr>
        <w:t>级，最大纵坡</w:t>
      </w:r>
      <w:r>
        <w:rPr>
          <w:rFonts w:hint="default" w:ascii="CESI仿宋-GB2312" w:hAnsi="CESI仿宋-GB2312" w:eastAsia="CESI仿宋-GB2312" w:cs="CESI仿宋-GB2312"/>
          <w:kern w:val="0"/>
          <w:sz w:val="32"/>
          <w:szCs w:val="32"/>
          <w:lang w:val="en-US" w:eastAsia="zh-CN" w:bidi="ar-SA"/>
        </w:rPr>
        <w:t>3%</w:t>
      </w:r>
      <w:r>
        <w:rPr>
          <w:rFonts w:hint="eastAsia" w:ascii="CESI仿宋-GB2312" w:hAnsi="CESI仿宋-GB2312" w:eastAsia="CESI仿宋-GB2312" w:cs="CESI仿宋-GB2312"/>
          <w:kern w:val="0"/>
          <w:sz w:val="32"/>
          <w:szCs w:val="32"/>
          <w:lang w:val="en-US" w:eastAsia="zh-CN" w:bidi="ar-SA"/>
        </w:rPr>
        <w:t>，路面设计年限为</w:t>
      </w:r>
      <w:r>
        <w:rPr>
          <w:rFonts w:hint="default" w:ascii="CESI仿宋-GB2312" w:hAnsi="CESI仿宋-GB2312" w:eastAsia="CESI仿宋-GB2312" w:cs="CESI仿宋-GB2312"/>
          <w:kern w:val="0"/>
          <w:sz w:val="32"/>
          <w:szCs w:val="32"/>
          <w:lang w:val="en-US" w:eastAsia="zh-CN" w:bidi="ar-SA"/>
        </w:rPr>
        <w:t>10</w:t>
      </w:r>
      <w:r>
        <w:rPr>
          <w:rFonts w:hint="eastAsia" w:ascii="CESI仿宋-GB2312" w:hAnsi="CESI仿宋-GB2312" w:eastAsia="CESI仿宋-GB2312" w:cs="CESI仿宋-GB2312"/>
          <w:kern w:val="0"/>
          <w:sz w:val="32"/>
          <w:szCs w:val="32"/>
          <w:lang w:val="en-US" w:eastAsia="zh-CN" w:bidi="ar-SA"/>
        </w:rPr>
        <w:t>年，地震烈度为</w:t>
      </w:r>
      <w:r>
        <w:rPr>
          <w:rFonts w:hint="default" w:ascii="CESI仿宋-GB2312" w:hAnsi="CESI仿宋-GB2312" w:eastAsia="CESI仿宋-GB2312" w:cs="CESI仿宋-GB2312"/>
          <w:kern w:val="0"/>
          <w:sz w:val="32"/>
          <w:szCs w:val="32"/>
          <w:lang w:val="en-US" w:eastAsia="zh-CN" w:bidi="ar-SA"/>
        </w:rPr>
        <w:t>VI</w:t>
      </w:r>
      <w:r>
        <w:rPr>
          <w:rFonts w:hint="eastAsia" w:ascii="CESI仿宋-GB2312" w:hAnsi="CESI仿宋-GB2312" w:eastAsia="CESI仿宋-GB2312" w:cs="CESI仿宋-GB2312"/>
          <w:kern w:val="0"/>
          <w:sz w:val="32"/>
          <w:szCs w:val="32"/>
          <w:lang w:val="en-US" w:eastAsia="zh-CN" w:bidi="ar-SA"/>
        </w:rPr>
        <w:t>度。项目总投资为</w:t>
      </w:r>
      <w:r>
        <w:rPr>
          <w:rFonts w:hint="default" w:ascii="CESI仿宋-GB2312" w:hAnsi="CESI仿宋-GB2312" w:eastAsia="CESI仿宋-GB2312" w:cs="CESI仿宋-GB2312"/>
          <w:kern w:val="0"/>
          <w:sz w:val="32"/>
          <w:szCs w:val="32"/>
          <w:lang w:val="en-US" w:eastAsia="zh-CN" w:bidi="ar-SA"/>
        </w:rPr>
        <w:t>4124.5053</w:t>
      </w:r>
      <w:r>
        <w:rPr>
          <w:rFonts w:hint="eastAsia" w:ascii="CESI仿宋-GB2312" w:hAnsi="CESI仿宋-GB2312" w:eastAsia="CESI仿宋-GB2312" w:cs="CESI仿宋-GB2312"/>
          <w:kern w:val="0"/>
          <w:sz w:val="32"/>
          <w:szCs w:val="32"/>
          <w:lang w:val="en-US" w:eastAsia="zh-CN" w:bidi="ar-SA"/>
        </w:rPr>
        <w:t>万元，其中环保投资为</w:t>
      </w:r>
      <w:r>
        <w:rPr>
          <w:rFonts w:hint="default" w:ascii="CESI仿宋-GB2312" w:hAnsi="CESI仿宋-GB2312" w:eastAsia="CESI仿宋-GB2312" w:cs="CESI仿宋-GB2312"/>
          <w:kern w:val="0"/>
          <w:sz w:val="32"/>
          <w:szCs w:val="32"/>
          <w:lang w:val="en-US" w:eastAsia="zh-CN" w:bidi="ar-SA"/>
        </w:rPr>
        <w:t>127.5</w:t>
      </w:r>
      <w:r>
        <w:rPr>
          <w:rFonts w:hint="eastAsia" w:ascii="CESI仿宋-GB2312" w:hAnsi="CESI仿宋-GB2312" w:eastAsia="CESI仿宋-GB2312" w:cs="CESI仿宋-GB2312"/>
          <w:kern w:val="0"/>
          <w:sz w:val="32"/>
          <w:szCs w:val="32"/>
          <w:lang w:val="en-US" w:eastAsia="zh-CN" w:bidi="ar-SA"/>
        </w:rPr>
        <w:t>万元，占总投资的</w:t>
      </w:r>
      <w:r>
        <w:rPr>
          <w:rFonts w:hint="default" w:ascii="CESI仿宋-GB2312" w:hAnsi="CESI仿宋-GB2312" w:eastAsia="CESI仿宋-GB2312" w:cs="CESI仿宋-GB2312"/>
          <w:kern w:val="0"/>
          <w:sz w:val="32"/>
          <w:szCs w:val="32"/>
          <w:lang w:val="en-US" w:eastAsia="zh-CN" w:bidi="ar-SA"/>
        </w:rPr>
        <w:t>3.09</w:t>
      </w:r>
      <w:r>
        <w:rPr>
          <w:rFonts w:hint="eastAsia" w:ascii="CESI仿宋-GB2312" w:hAnsi="CESI仿宋-GB2312" w:eastAsia="CESI仿宋-GB2312" w:cs="CESI仿宋-GB2312"/>
          <w:kern w:val="0"/>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2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（二）</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项目施工期严格按照饮用水水源保护管理要求施工，</w:t>
      </w:r>
      <w:r>
        <w:rPr>
          <w:rFonts w:hint="eastAsia" w:ascii="CESI仿宋-GB2312" w:hAnsi="CESI仿宋-GB2312" w:eastAsia="CESI仿宋-GB2312" w:cs="CESI仿宋-GB2312"/>
          <w:color w:val="000000" w:themeColor="text1"/>
          <w:sz w:val="32"/>
          <w:szCs w:val="32"/>
          <w14:textFill>
            <w14:solidFill>
              <w14:schemeClr w14:val="tx1"/>
            </w14:solidFill>
          </w14:textFill>
        </w:rPr>
        <w:t>加强沿路生态保护，优化施工方案，最大限度地减少道路建设对地表的扰动，施工结束后，及时进行生态恢复。</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三</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禁止在饮用水水源保护区内新建排污口，禁止设置施工营地、取土场、水泥砼拌合站等临时工程，禁止施工人员向饮用水水源保护区排放或倾倒污染物</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，禁止</w:t>
      </w:r>
      <w:r>
        <w:rPr>
          <w:rFonts w:hint="eastAsia" w:ascii="CESI仿宋-GB2312" w:hAnsi="CESI仿宋-GB2312" w:eastAsia="CESI仿宋-GB2312" w:cs="CESI仿宋-GB2312"/>
          <w:color w:val="000000" w:themeColor="text1"/>
          <w:sz w:val="32"/>
          <w:szCs w:val="32"/>
          <w14:textFill>
            <w14:solidFill>
              <w14:schemeClr w14:val="tx1"/>
            </w14:solidFill>
          </w14:textFill>
        </w:rPr>
        <w:t>在水源保护区内设置暂存收集池。</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color w:val="000000" w:themeColor="text1"/>
          <w:sz w:val="32"/>
          <w:szCs w:val="32"/>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（四）项目运营期产生的一般固废、生活垃圾</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集中分类收集后，可利用的综合利用，不可利用的交由环卫部门统一处置；严禁随意乱倾乱倒。</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color w:val="000000" w:themeColor="text1"/>
          <w:sz w:val="32"/>
          <w:szCs w:val="32"/>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（五）项目选用低噪声施工设备，加强施工管理和施工组织，合理安排施工时间等降噪措施，确保噪声达标排放。</w:t>
      </w:r>
    </w:p>
    <w:p>
      <w:pPr>
        <w:pStyle w:val="1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8</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sz w:val="32"/>
          <w:szCs w:val="32"/>
        </w:rPr>
      </w:pPr>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A2555DF"/>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76E8A6"/>
    <w:rsid w:val="1D90382E"/>
    <w:rsid w:val="1EAC32F3"/>
    <w:rsid w:val="22F81725"/>
    <w:rsid w:val="24A24B56"/>
    <w:rsid w:val="252151DF"/>
    <w:rsid w:val="25373817"/>
    <w:rsid w:val="25F73299"/>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E4C22F1"/>
    <w:rsid w:val="5E7D6F53"/>
    <w:rsid w:val="5E9E484A"/>
    <w:rsid w:val="5F73AD39"/>
    <w:rsid w:val="61164C9A"/>
    <w:rsid w:val="61BA27D8"/>
    <w:rsid w:val="623A7BF5"/>
    <w:rsid w:val="63AA740A"/>
    <w:rsid w:val="63F93351"/>
    <w:rsid w:val="64475181"/>
    <w:rsid w:val="64A92425"/>
    <w:rsid w:val="656960A7"/>
    <w:rsid w:val="657131FA"/>
    <w:rsid w:val="676F198B"/>
    <w:rsid w:val="67973CDE"/>
    <w:rsid w:val="67EB5C4D"/>
    <w:rsid w:val="685F1E70"/>
    <w:rsid w:val="689931E6"/>
    <w:rsid w:val="68AF296B"/>
    <w:rsid w:val="68CE783A"/>
    <w:rsid w:val="6A581E1B"/>
    <w:rsid w:val="6A831188"/>
    <w:rsid w:val="6ACF0A20"/>
    <w:rsid w:val="6C311060"/>
    <w:rsid w:val="6C6658B0"/>
    <w:rsid w:val="6CE41B63"/>
    <w:rsid w:val="6ED70751"/>
    <w:rsid w:val="6EEFE259"/>
    <w:rsid w:val="709F6020"/>
    <w:rsid w:val="70E27414"/>
    <w:rsid w:val="731E50CD"/>
    <w:rsid w:val="73651791"/>
    <w:rsid w:val="7530523D"/>
    <w:rsid w:val="75E627F8"/>
    <w:rsid w:val="76432E15"/>
    <w:rsid w:val="77C45C42"/>
    <w:rsid w:val="7836409D"/>
    <w:rsid w:val="791D0C1E"/>
    <w:rsid w:val="79401FEE"/>
    <w:rsid w:val="795F8436"/>
    <w:rsid w:val="797A6A67"/>
    <w:rsid w:val="79B43B2B"/>
    <w:rsid w:val="7ABACCDE"/>
    <w:rsid w:val="7B59528D"/>
    <w:rsid w:val="7C10356E"/>
    <w:rsid w:val="7C7F1AC0"/>
    <w:rsid w:val="7D94006F"/>
    <w:rsid w:val="7DEFA59B"/>
    <w:rsid w:val="7F454FCD"/>
    <w:rsid w:val="7F882DBB"/>
    <w:rsid w:val="7FF06952"/>
    <w:rsid w:val="AE37EEAE"/>
    <w:rsid w:val="EFEBEA7B"/>
    <w:rsid w:val="F5F2EC0A"/>
    <w:rsid w:val="F7FFAE37"/>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20</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2018-12-29T02:50:00Z</dcterms:created>
  <dc:creator>Administrator</dc:creator>
  <cp:lastModifiedBy>liuni</cp:lastModifiedBy>
  <cp:lastPrinted>2023-09-17T01:45:00Z</cp:lastPrinted>
  <dcterms:modified xsi:type="dcterms:W3CDTF">2024-04-07T08:38:05Z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